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A3DE7" w14:textId="77777777" w:rsidR="00856DC2" w:rsidRPr="005B64DF" w:rsidRDefault="00C04BF6" w:rsidP="00BC489D">
      <w:pPr>
        <w:spacing w:before="100" w:beforeAutospacing="1" w:after="0"/>
        <w:jc w:val="center"/>
        <w:rPr>
          <w:b/>
          <w:szCs w:val="22"/>
        </w:rPr>
      </w:pPr>
      <w:bookmarkStart w:id="0" w:name="_Hlk522103366"/>
      <w:bookmarkStart w:id="1" w:name="OLE_LINK2"/>
      <w:bookmarkStart w:id="2" w:name="_GoBack"/>
      <w:bookmarkEnd w:id="2"/>
      <w:r w:rsidRPr="005B64DF">
        <w:rPr>
          <w:b/>
          <w:noProof/>
          <w:szCs w:val="22"/>
          <w:lang w:val="en-GB" w:eastAsia="en-GB"/>
        </w:rPr>
        <w:drawing>
          <wp:inline distT="0" distB="0" distL="0" distR="0" wp14:anchorId="22CE4BE5" wp14:editId="5F425D71">
            <wp:extent cx="1316355" cy="5194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355" cy="519430"/>
                    </a:xfrm>
                    <a:prstGeom prst="rect">
                      <a:avLst/>
                    </a:prstGeom>
                    <a:noFill/>
                    <a:ln>
                      <a:noFill/>
                    </a:ln>
                  </pic:spPr>
                </pic:pic>
              </a:graphicData>
            </a:graphic>
          </wp:inline>
        </w:drawing>
      </w:r>
    </w:p>
    <w:bookmarkEnd w:id="0"/>
    <w:bookmarkEnd w:id="1"/>
    <w:p w14:paraId="1315C8B2" w14:textId="77777777" w:rsidR="00856DC2" w:rsidRPr="005B64DF" w:rsidRDefault="00856DC2" w:rsidP="00856DC2">
      <w:pPr>
        <w:spacing w:before="960"/>
        <w:jc w:val="center"/>
        <w:rPr>
          <w:szCs w:val="22"/>
        </w:rPr>
      </w:pPr>
      <w:r w:rsidRPr="005B64DF">
        <w:rPr>
          <w:b/>
          <w:szCs w:val="22"/>
        </w:rPr>
        <w:t>Administration contractante</w:t>
      </w:r>
      <w:r w:rsidRPr="005B64DF">
        <w:rPr>
          <w:szCs w:val="22"/>
        </w:rPr>
        <w:t>: Commission européenne</w:t>
      </w:r>
    </w:p>
    <w:p w14:paraId="45C11F38" w14:textId="77777777" w:rsidR="00B40DFF" w:rsidRPr="005B64DF" w:rsidRDefault="00170044" w:rsidP="00B40DFF">
      <w:pPr>
        <w:pStyle w:val="Title"/>
        <w:spacing w:before="600"/>
        <w:outlineLvl w:val="0"/>
        <w:rPr>
          <w:sz w:val="28"/>
          <w:szCs w:val="28"/>
        </w:rPr>
      </w:pPr>
      <w:r w:rsidRPr="005B64DF">
        <w:rPr>
          <w:sz w:val="28"/>
          <w:szCs w:val="28"/>
        </w:rPr>
        <w:t xml:space="preserve">SOUTIEN </w:t>
      </w:r>
      <w:r w:rsidR="002E2BEA" w:rsidRPr="005B64DF">
        <w:rPr>
          <w:sz w:val="28"/>
          <w:szCs w:val="28"/>
        </w:rPr>
        <w:t xml:space="preserve">A L’ENGAGEMENT DE LA SOCIETE CIVILE </w:t>
      </w:r>
      <w:r w:rsidR="00A95D99" w:rsidRPr="005B64DF">
        <w:rPr>
          <w:sz w:val="28"/>
          <w:szCs w:val="28"/>
        </w:rPr>
        <w:t xml:space="preserve">POUR </w:t>
      </w:r>
      <w:r w:rsidR="002E2BEA" w:rsidRPr="005B64DF">
        <w:rPr>
          <w:sz w:val="28"/>
          <w:szCs w:val="28"/>
        </w:rPr>
        <w:t xml:space="preserve">LA JEUNESSE SENEGALAISE : </w:t>
      </w:r>
      <w:r w:rsidR="0098030A" w:rsidRPr="005B64DF">
        <w:rPr>
          <w:sz w:val="28"/>
          <w:szCs w:val="28"/>
        </w:rPr>
        <w:t>ENTREPRENEURIAT</w:t>
      </w:r>
      <w:r w:rsidR="00A95D99" w:rsidRPr="005B64DF">
        <w:rPr>
          <w:sz w:val="28"/>
          <w:szCs w:val="28"/>
        </w:rPr>
        <w:t xml:space="preserve"> DES JEUNES PARTICIPATION</w:t>
      </w:r>
      <w:r w:rsidR="002E2BEA" w:rsidRPr="005B64DF">
        <w:rPr>
          <w:sz w:val="28"/>
          <w:szCs w:val="28"/>
        </w:rPr>
        <w:t xml:space="preserve"> </w:t>
      </w:r>
      <w:r w:rsidR="00251414" w:rsidRPr="005B64DF">
        <w:rPr>
          <w:sz w:val="28"/>
          <w:szCs w:val="28"/>
        </w:rPr>
        <w:t xml:space="preserve">PUBLIQUE ET </w:t>
      </w:r>
      <w:r w:rsidR="00A95D99" w:rsidRPr="005B64DF">
        <w:rPr>
          <w:sz w:val="28"/>
          <w:szCs w:val="28"/>
        </w:rPr>
        <w:t xml:space="preserve">CITOYENNE </w:t>
      </w:r>
    </w:p>
    <w:p w14:paraId="1CD776EC" w14:textId="77777777" w:rsidR="00856DC2" w:rsidRPr="005B64DF" w:rsidRDefault="00856DC2" w:rsidP="00B40DFF">
      <w:pPr>
        <w:pStyle w:val="Title"/>
        <w:spacing w:before="600"/>
        <w:outlineLvl w:val="0"/>
        <w:rPr>
          <w:sz w:val="28"/>
          <w:szCs w:val="28"/>
        </w:rPr>
      </w:pPr>
      <w:r w:rsidRPr="005B64DF">
        <w:rPr>
          <w:sz w:val="28"/>
          <w:szCs w:val="28"/>
        </w:rPr>
        <w:t>Lignes directrices à l’intention des demandeurs de subvention</w:t>
      </w:r>
    </w:p>
    <w:p w14:paraId="10F9EB78" w14:textId="77777777" w:rsidR="00A95D99" w:rsidRPr="005B64DF" w:rsidRDefault="00A95D99" w:rsidP="00A95D99">
      <w:pPr>
        <w:pStyle w:val="SubTitle1"/>
        <w:spacing w:before="480"/>
        <w:ind w:left="1440"/>
        <w:jc w:val="both"/>
        <w:rPr>
          <w:sz w:val="28"/>
          <w:szCs w:val="28"/>
        </w:rPr>
      </w:pPr>
      <w:r w:rsidRPr="005B64DF">
        <w:rPr>
          <w:sz w:val="28"/>
          <w:szCs w:val="28"/>
        </w:rPr>
        <w:t>Lignes budgétaires</w:t>
      </w:r>
      <w:r w:rsidR="00856DC2" w:rsidRPr="005B64DF">
        <w:rPr>
          <w:sz w:val="28"/>
          <w:szCs w:val="28"/>
        </w:rPr>
        <w:t>:</w:t>
      </w:r>
      <w:r w:rsidR="00317F3E" w:rsidRPr="005B64DF">
        <w:rPr>
          <w:sz w:val="28"/>
          <w:szCs w:val="28"/>
        </w:rPr>
        <w:t xml:space="preserve"> </w:t>
      </w:r>
    </w:p>
    <w:p w14:paraId="5ECB02C1" w14:textId="77777777" w:rsidR="002F7CE8" w:rsidRDefault="002F7CE8" w:rsidP="002F7CE8">
      <w:pPr>
        <w:pStyle w:val="Default"/>
      </w:pPr>
    </w:p>
    <w:p w14:paraId="2D358DBE" w14:textId="77777777" w:rsidR="00A95D99" w:rsidRPr="00931758" w:rsidRDefault="002F7CE8" w:rsidP="00251414">
      <w:pPr>
        <w:pStyle w:val="SubTitle1"/>
        <w:numPr>
          <w:ilvl w:val="0"/>
          <w:numId w:val="44"/>
        </w:numPr>
        <w:spacing w:before="100" w:beforeAutospacing="1" w:after="100" w:afterAutospacing="1"/>
        <w:ind w:left="1633" w:hanging="357"/>
        <w:jc w:val="both"/>
        <w:rPr>
          <w:b w:val="0"/>
          <w:sz w:val="22"/>
          <w:szCs w:val="22"/>
          <w:lang w:val="en-GB"/>
        </w:rPr>
      </w:pPr>
      <w:r>
        <w:rPr>
          <w:b w:val="0"/>
          <w:sz w:val="22"/>
          <w:szCs w:val="22"/>
          <w:lang w:val="en-GB"/>
        </w:rPr>
        <w:t>NDICI CSO/2021/043-480 – Support to Civil Society in Partner Countries</w:t>
      </w:r>
    </w:p>
    <w:p w14:paraId="7A8B6D83" w14:textId="77777777" w:rsidR="0027516A" w:rsidRPr="005B64DF" w:rsidRDefault="00317F3E" w:rsidP="00251414">
      <w:pPr>
        <w:pStyle w:val="SubTitle1"/>
        <w:numPr>
          <w:ilvl w:val="0"/>
          <w:numId w:val="44"/>
        </w:numPr>
        <w:spacing w:before="100" w:beforeAutospacing="1" w:after="100" w:afterAutospacing="1"/>
        <w:ind w:left="1633" w:hanging="357"/>
        <w:jc w:val="both"/>
        <w:rPr>
          <w:b w:val="0"/>
          <w:sz w:val="22"/>
          <w:szCs w:val="22"/>
        </w:rPr>
      </w:pPr>
      <w:r w:rsidRPr="005B64DF">
        <w:rPr>
          <w:b w:val="0"/>
          <w:sz w:val="22"/>
          <w:szCs w:val="22"/>
        </w:rPr>
        <w:t>NDICI AFRICA/2021/43367</w:t>
      </w:r>
      <w:r w:rsidR="0027516A" w:rsidRPr="005B64DF">
        <w:rPr>
          <w:b w:val="0"/>
          <w:sz w:val="22"/>
          <w:szCs w:val="22"/>
        </w:rPr>
        <w:t xml:space="preserve"> </w:t>
      </w:r>
      <w:r w:rsidR="005C3BF4" w:rsidRPr="005B64DF">
        <w:rPr>
          <w:b w:val="0"/>
          <w:sz w:val="22"/>
          <w:szCs w:val="22"/>
        </w:rPr>
        <w:t xml:space="preserve">- </w:t>
      </w:r>
      <w:r w:rsidR="0027516A" w:rsidRPr="005B64DF">
        <w:rPr>
          <w:b w:val="0"/>
          <w:sz w:val="22"/>
          <w:szCs w:val="22"/>
        </w:rPr>
        <w:t>Appui à la reprise économique post-Covid, en particulier pou</w:t>
      </w:r>
      <w:r w:rsidR="00A95D99" w:rsidRPr="005B64DF">
        <w:rPr>
          <w:b w:val="0"/>
          <w:sz w:val="22"/>
          <w:szCs w:val="22"/>
        </w:rPr>
        <w:t>r la jeunesse (appui budgétaire</w:t>
      </w:r>
      <w:r w:rsidR="0027516A" w:rsidRPr="005B64DF">
        <w:rPr>
          <w:b w:val="0"/>
          <w:sz w:val="22"/>
          <w:szCs w:val="22"/>
        </w:rPr>
        <w:t>)</w:t>
      </w:r>
    </w:p>
    <w:p w14:paraId="51F54355" w14:textId="77777777" w:rsidR="00B40DFF" w:rsidRPr="005B64DF" w:rsidRDefault="00B40DFF" w:rsidP="00B40DFF">
      <w:pPr>
        <w:pStyle w:val="SubTitle2"/>
      </w:pPr>
    </w:p>
    <w:p w14:paraId="492500C0" w14:textId="77777777" w:rsidR="00856DC2" w:rsidRPr="005B64DF" w:rsidRDefault="00856DC2" w:rsidP="00856DC2">
      <w:pPr>
        <w:pStyle w:val="SubTitle2"/>
        <w:rPr>
          <w:noProof/>
          <w:sz w:val="24"/>
          <w:szCs w:val="24"/>
          <w:lang w:val="fr-BE"/>
        </w:rPr>
      </w:pPr>
      <w:r w:rsidRPr="005B64DF">
        <w:rPr>
          <w:sz w:val="24"/>
          <w:szCs w:val="24"/>
          <w:lang w:val="fr-BE"/>
        </w:rPr>
        <w:t>Référence:</w:t>
      </w:r>
      <w:r w:rsidRPr="005B64DF">
        <w:rPr>
          <w:sz w:val="24"/>
          <w:szCs w:val="24"/>
          <w:lang w:val="fr-BE"/>
        </w:rPr>
        <w:br/>
        <w:t>EuropeAid/</w:t>
      </w:r>
      <w:r w:rsidR="00A95D99" w:rsidRPr="005B64DF">
        <w:rPr>
          <w:sz w:val="24"/>
          <w:szCs w:val="24"/>
        </w:rPr>
        <w:t>183021</w:t>
      </w:r>
      <w:r w:rsidRPr="005B64DF">
        <w:rPr>
          <w:sz w:val="24"/>
          <w:szCs w:val="24"/>
          <w:lang w:val="fr-BE"/>
        </w:rPr>
        <w:t>/</w:t>
      </w:r>
      <w:r w:rsidRPr="005B64DF">
        <w:rPr>
          <w:noProof/>
          <w:sz w:val="24"/>
          <w:szCs w:val="24"/>
          <w:lang w:val="fr-BE"/>
        </w:rPr>
        <w:t>DH</w:t>
      </w:r>
      <w:r w:rsidRPr="005B64DF">
        <w:rPr>
          <w:sz w:val="24"/>
          <w:szCs w:val="24"/>
          <w:lang w:val="fr-BE"/>
        </w:rPr>
        <w:t>/</w:t>
      </w:r>
      <w:r w:rsidRPr="005B64DF">
        <w:rPr>
          <w:noProof/>
          <w:sz w:val="24"/>
          <w:szCs w:val="24"/>
          <w:lang w:val="fr-BE"/>
        </w:rPr>
        <w:t>ACT</w:t>
      </w:r>
      <w:r w:rsidRPr="005B64DF">
        <w:rPr>
          <w:sz w:val="24"/>
          <w:szCs w:val="24"/>
          <w:lang w:val="fr-BE"/>
        </w:rPr>
        <w:t>/</w:t>
      </w:r>
    </w:p>
    <w:p w14:paraId="2B9A9CAB" w14:textId="77777777" w:rsidR="00856DC2" w:rsidRPr="005B64DF" w:rsidRDefault="00856DC2" w:rsidP="00856DC2">
      <w:pPr>
        <w:pStyle w:val="SubTitle2"/>
        <w:spacing w:after="120"/>
        <w:rPr>
          <w:b w:val="0"/>
          <w:noProof/>
          <w:sz w:val="22"/>
          <w:szCs w:val="22"/>
        </w:rPr>
      </w:pPr>
      <w:r w:rsidRPr="005B64DF">
        <w:rPr>
          <w:b w:val="0"/>
          <w:sz w:val="22"/>
          <w:szCs w:val="22"/>
        </w:rPr>
        <w:t>Date limite de soumission</w:t>
      </w:r>
      <w:r w:rsidRPr="005B64DF">
        <w:rPr>
          <w:rStyle w:val="FootnoteReference"/>
          <w:b w:val="0"/>
          <w:sz w:val="22"/>
          <w:szCs w:val="22"/>
        </w:rPr>
        <w:footnoteReference w:id="2"/>
      </w:r>
      <w:r w:rsidRPr="005B64DF">
        <w:rPr>
          <w:b w:val="0"/>
          <w:sz w:val="22"/>
          <w:szCs w:val="22"/>
        </w:rPr>
        <w:t xml:space="preserve"> des notes succinctes de présentation:</w:t>
      </w:r>
    </w:p>
    <w:p w14:paraId="65791A92" w14:textId="77777777" w:rsidR="00856DC2" w:rsidRPr="005B64DF" w:rsidRDefault="00856DC2" w:rsidP="00856DC2">
      <w:pPr>
        <w:pStyle w:val="SubTitle2"/>
        <w:spacing w:after="120"/>
        <w:rPr>
          <w:b w:val="0"/>
          <w:noProof/>
          <w:sz w:val="22"/>
          <w:szCs w:val="22"/>
        </w:rPr>
      </w:pPr>
    </w:p>
    <w:p w14:paraId="71FD33B2" w14:textId="7619EE2E" w:rsidR="00856DC2" w:rsidRPr="005B64DF" w:rsidRDefault="00856DC2" w:rsidP="00856DC2">
      <w:pPr>
        <w:pStyle w:val="SubTitle2"/>
        <w:rPr>
          <w:noProof/>
          <w:sz w:val="22"/>
          <w:szCs w:val="22"/>
        </w:rPr>
      </w:pPr>
      <w:r w:rsidRPr="005B64DF">
        <w:rPr>
          <w:sz w:val="22"/>
          <w:szCs w:val="22"/>
        </w:rPr>
        <w:t xml:space="preserve"> </w:t>
      </w:r>
      <w:r w:rsidR="00A37017">
        <w:rPr>
          <w:sz w:val="22"/>
          <w:szCs w:val="22"/>
        </w:rPr>
        <w:t>04 Février</w:t>
      </w:r>
      <w:r w:rsidR="000D0DD8" w:rsidRPr="005B64DF">
        <w:rPr>
          <w:sz w:val="22"/>
          <w:szCs w:val="22"/>
        </w:rPr>
        <w:t xml:space="preserve"> 2025, 18 heures</w:t>
      </w:r>
      <w:r w:rsidR="00251414" w:rsidRPr="005B64DF">
        <w:rPr>
          <w:sz w:val="22"/>
          <w:szCs w:val="22"/>
        </w:rPr>
        <w:t xml:space="preserve"> </w:t>
      </w:r>
      <w:r w:rsidRPr="005B64DF">
        <w:rPr>
          <w:sz w:val="22"/>
          <w:szCs w:val="22"/>
        </w:rPr>
        <w:t>(heure de Bruxelles)</w:t>
      </w:r>
    </w:p>
    <w:p w14:paraId="19B519A5" w14:textId="77777777" w:rsidR="00856DC2" w:rsidRPr="005B64DF" w:rsidRDefault="00856DC2" w:rsidP="00856DC2">
      <w:pPr>
        <w:pStyle w:val="SubTitle2"/>
        <w:rPr>
          <w:sz w:val="22"/>
          <w:szCs w:val="22"/>
        </w:rPr>
      </w:pPr>
      <w:r w:rsidRPr="005B64DF">
        <w:rPr>
          <w:b w:val="0"/>
          <w:sz w:val="22"/>
          <w:szCs w:val="22"/>
        </w:rPr>
        <w:t xml:space="preserve">(Pour convertir en heure locale, cliquez </w:t>
      </w:r>
      <w:hyperlink r:id="rId13" w:history="1">
        <w:r w:rsidRPr="005B64DF">
          <w:rPr>
            <w:rStyle w:val="Hyperlink"/>
            <w:color w:val="auto"/>
            <w:sz w:val="22"/>
            <w:szCs w:val="22"/>
          </w:rPr>
          <w:t>ici</w:t>
        </w:r>
      </w:hyperlink>
      <w:r w:rsidRPr="005B64DF">
        <w:rPr>
          <w:rStyle w:val="FootnoteReference"/>
          <w:sz w:val="22"/>
          <w:szCs w:val="22"/>
        </w:rPr>
        <w:footnoteReference w:id="3"/>
      </w:r>
      <w:r w:rsidRPr="005B64DF">
        <w:rPr>
          <w:sz w:val="22"/>
          <w:szCs w:val="22"/>
        </w:rPr>
        <w:t>)</w:t>
      </w:r>
    </w:p>
    <w:p w14:paraId="53A58AA9" w14:textId="77777777" w:rsidR="007857D2" w:rsidRPr="005B64DF" w:rsidRDefault="003E79BB" w:rsidP="00EE4E75">
      <w:pPr>
        <w:pStyle w:val="SubTitle1"/>
        <w:rPr>
          <w:sz w:val="22"/>
          <w:szCs w:val="22"/>
        </w:rPr>
      </w:pPr>
      <w:r w:rsidRPr="005B64DF">
        <w:rPr>
          <w:sz w:val="22"/>
          <w:szCs w:val="22"/>
        </w:rPr>
        <w:br w:type="page"/>
      </w:r>
      <w:r w:rsidRPr="005B64DF">
        <w:rPr>
          <w:sz w:val="22"/>
          <w:szCs w:val="22"/>
        </w:rPr>
        <w:lastRenderedPageBreak/>
        <w:t>NOTE</w:t>
      </w:r>
    </w:p>
    <w:p w14:paraId="10C54652" w14:textId="77777777" w:rsidR="0052492E" w:rsidRPr="005B64DF" w:rsidRDefault="0052492E" w:rsidP="0052492E">
      <w:pPr>
        <w:pStyle w:val="SubTitle2"/>
        <w:rPr>
          <w:sz w:val="22"/>
          <w:szCs w:val="22"/>
        </w:rPr>
      </w:pPr>
    </w:p>
    <w:p w14:paraId="7B2771DB" w14:textId="77777777" w:rsidR="0052492E" w:rsidRPr="005B64DF" w:rsidRDefault="0052492E" w:rsidP="0052492E">
      <w:pPr>
        <w:pStyle w:val="Subtitle"/>
        <w:spacing w:after="240"/>
        <w:jc w:val="both"/>
        <w:rPr>
          <w:rFonts w:ascii="Times New Roman" w:hAnsi="Times New Roman"/>
          <w:b w:val="0"/>
          <w:sz w:val="22"/>
          <w:szCs w:val="22"/>
        </w:rPr>
      </w:pPr>
      <w:r w:rsidRPr="005B64DF">
        <w:rPr>
          <w:rFonts w:ascii="Times New Roman" w:hAnsi="Times New Roman"/>
          <w:b w:val="0"/>
          <w:sz w:val="22"/>
          <w:szCs w:val="22"/>
        </w:rPr>
        <w:t>Il s’agit d’un appel à propositions restreint. Dans un premier temps, seules les notes succinctes de présentation (annexe A.1 – formulaire de demande de subvention – note succincte de présentation) doivent être soumises pour évaluation. Par la suite, les demandeurs chefs de file qui auront été présélectionnés seront invités à soumettre une demande complète (annexe A.2 – formulaire de demande de subvention – demande complète). Après l’évaluation des demandes complètes, l’éligibilité des demandeurs provisoirement sélectionnés sera vérifiée sur la base des pièces justificatives demandées par l’administration contractante et de la «déclaration du demandeur chef de file» signée, envoyées en même temps que la demande complète.</w:t>
      </w:r>
    </w:p>
    <w:p w14:paraId="3347D5FF" w14:textId="59E7F5AC" w:rsidR="00EE4E75" w:rsidRDefault="00EE4E75" w:rsidP="00EE4E75">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2"/>
        </w:rPr>
      </w:pPr>
      <w:r w:rsidRPr="005B64DF">
        <w:rPr>
          <w:b/>
          <w:snapToGrid w:val="0"/>
          <w:color w:val="auto"/>
          <w:sz w:val="22"/>
          <w:szCs w:val="22"/>
        </w:rPr>
        <w:t xml:space="preserve">Pour soumettre une demande dans le cadre du présent appel à propositions, les organisations doivent s’enregistrer dans PADOR et introduire leur demande dans PROSPECT (voir section 2.2.2 des lignes directrices). </w:t>
      </w:r>
      <w:r w:rsidRPr="005B64DF">
        <w:rPr>
          <w:snapToGrid w:val="0"/>
          <w:color w:val="auto"/>
          <w:sz w:val="22"/>
          <w:szCs w:val="22"/>
        </w:rPr>
        <w:t>Le but de PROSPECT est d’accroître l’efficacité de la gestion de l’appel à propositions et d’offrir un meilleur service aux organisations de la société civile au moyen d’une nouvelle palette de fonctionnalités telles que la soumission en ligne et la possibilité de suivre le statut de leurs propositions en ligne.</w:t>
      </w:r>
    </w:p>
    <w:p w14:paraId="6FB8E24E" w14:textId="76C2DF6E" w:rsidR="00D76864" w:rsidRPr="00B4103F" w:rsidRDefault="00D76864" w:rsidP="00D76864">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Pr>
          <w:b/>
          <w:snapToGrid w:val="0"/>
          <w:color w:val="auto"/>
          <w:sz w:val="22"/>
          <w:szCs w:val="20"/>
        </w:rPr>
        <w:t>Préparation</w:t>
      </w:r>
      <w:r>
        <w:rPr>
          <w:b/>
          <w:bCs/>
          <w:snapToGrid w:val="0"/>
          <w:color w:val="auto"/>
          <w:sz w:val="22"/>
          <w:szCs w:val="20"/>
        </w:rPr>
        <w:t>:</w:t>
      </w:r>
      <w:r>
        <w:rPr>
          <w:snapToGrid w:val="0"/>
          <w:color w:val="auto"/>
          <w:sz w:val="22"/>
          <w:szCs w:val="20"/>
        </w:rPr>
        <w:t xml:space="preserve"> séance d’information (</w:t>
      </w:r>
      <w:r w:rsidRPr="005E06CB">
        <w:rPr>
          <w:b/>
          <w:snapToGrid w:val="0"/>
          <w:color w:val="auto"/>
          <w:sz w:val="22"/>
          <w:szCs w:val="20"/>
        </w:rPr>
        <w:t>10 janvier 2025 à 10 heures, en ligne</w:t>
      </w:r>
      <w:r>
        <w:rPr>
          <w:snapToGrid w:val="0"/>
          <w:color w:val="auto"/>
          <w:sz w:val="22"/>
          <w:szCs w:val="20"/>
        </w:rPr>
        <w:t xml:space="preserve">) et </w:t>
      </w:r>
      <w:r w:rsidRPr="005E06CB">
        <w:rPr>
          <w:b/>
          <w:snapToGrid w:val="0"/>
          <w:color w:val="auto"/>
          <w:sz w:val="22"/>
          <w:szCs w:val="20"/>
        </w:rPr>
        <w:t>manuels d’utilisation</w:t>
      </w:r>
      <w:r>
        <w:rPr>
          <w:snapToGrid w:val="0"/>
          <w:color w:val="auto"/>
          <w:sz w:val="22"/>
          <w:szCs w:val="20"/>
        </w:rPr>
        <w:t xml:space="preserve"> </w:t>
      </w:r>
    </w:p>
    <w:p w14:paraId="22CEC944" w14:textId="1DAC172B" w:rsidR="00D76864" w:rsidRPr="00B4103F" w:rsidRDefault="00D76864" w:rsidP="00D76864">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Pr>
          <w:snapToGrid w:val="0"/>
          <w:color w:val="auto"/>
          <w:sz w:val="22"/>
          <w:szCs w:val="20"/>
        </w:rPr>
        <w:t>Pour aider les demandeurs à se familiariser avec le système avant d’introduire une demande en ligne, une séance d’information sera organisée le</w:t>
      </w:r>
      <w:r w:rsidRPr="00D76864">
        <w:rPr>
          <w:snapToGrid w:val="0"/>
          <w:color w:val="auto"/>
          <w:sz w:val="22"/>
          <w:szCs w:val="20"/>
        </w:rPr>
        <w:t xml:space="preserve"> </w:t>
      </w:r>
      <w:r w:rsidRPr="005E06CB">
        <w:rPr>
          <w:b/>
          <w:snapToGrid w:val="0"/>
          <w:color w:val="auto"/>
          <w:sz w:val="22"/>
          <w:szCs w:val="20"/>
        </w:rPr>
        <w:t>10 janvier 2025 de 10 à 12 heures en ligne</w:t>
      </w:r>
      <w:r>
        <w:rPr>
          <w:snapToGrid w:val="0"/>
          <w:color w:val="auto"/>
          <w:sz w:val="22"/>
          <w:szCs w:val="20"/>
        </w:rPr>
        <w:t>.</w:t>
      </w:r>
    </w:p>
    <w:p w14:paraId="720C0426" w14:textId="620D12A3" w:rsidR="00D76864" w:rsidRPr="00BE543A" w:rsidRDefault="00D76864" w:rsidP="00D76864">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rPr>
      </w:pPr>
      <w:r>
        <w:rPr>
          <w:snapToGrid w:val="0"/>
          <w:color w:val="auto"/>
          <w:sz w:val="22"/>
          <w:szCs w:val="20"/>
        </w:rPr>
        <w:t>Si vous êtes intéressé</w:t>
      </w:r>
      <w:r w:rsidR="00EE7732">
        <w:rPr>
          <w:snapToGrid w:val="0"/>
          <w:color w:val="auto"/>
          <w:sz w:val="22"/>
          <w:szCs w:val="20"/>
        </w:rPr>
        <w:t>s</w:t>
      </w:r>
      <w:r>
        <w:rPr>
          <w:snapToGrid w:val="0"/>
          <w:color w:val="auto"/>
          <w:sz w:val="22"/>
          <w:szCs w:val="20"/>
        </w:rPr>
        <w:t xml:space="preserve"> par cette séance d’information, veuillez envoyer un courriel avant </w:t>
      </w:r>
      <w:r w:rsidRPr="005E06CB">
        <w:rPr>
          <w:b/>
          <w:snapToGrid w:val="0"/>
          <w:color w:val="auto"/>
          <w:sz w:val="22"/>
          <w:szCs w:val="20"/>
        </w:rPr>
        <w:t xml:space="preserve">le 03 janvier 2025 à 17 heures </w:t>
      </w:r>
      <w:r>
        <w:rPr>
          <w:snapToGrid w:val="0"/>
          <w:color w:val="auto"/>
          <w:sz w:val="22"/>
          <w:szCs w:val="20"/>
        </w:rPr>
        <w:t>à l’adresse </w:t>
      </w:r>
      <w:r>
        <w:t xml:space="preserve">: </w:t>
      </w:r>
      <w:r w:rsidRPr="00E9512B">
        <w:rPr>
          <w:b/>
          <w:noProof/>
          <w:szCs w:val="22"/>
        </w:rPr>
        <w:t>delegation-senegal-tenders@eeas.europa.eu</w:t>
      </w:r>
      <w:r>
        <w:rPr>
          <w:snapToGrid w:val="0"/>
          <w:color w:val="auto"/>
          <w:sz w:val="22"/>
          <w:szCs w:val="20"/>
        </w:rPr>
        <w:t xml:space="preserve"> en indiquant le nom, le prénom, la nationalité et l’adresse électronique des personnes qui y participeront ainsi que le nom de leur organisation (max. deux participants par organisation). Les frais de participation à cette séance d’information ne sont pas remboursables.</w:t>
      </w:r>
    </w:p>
    <w:p w14:paraId="65E95FCA" w14:textId="77777777" w:rsidR="00EE4E75" w:rsidRPr="005B64DF" w:rsidRDefault="00381EDB" w:rsidP="00EE4E75">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szCs w:val="22"/>
        </w:rPr>
      </w:pPr>
      <w:r w:rsidRPr="005B64DF">
        <w:rPr>
          <w:rFonts w:ascii="Times New Roman" w:hAnsi="Times New Roman"/>
          <w:b w:val="0"/>
          <w:sz w:val="22"/>
          <w:szCs w:val="22"/>
        </w:rPr>
        <w:t xml:space="preserve">Toutes les organisations peuvent consulter le </w:t>
      </w:r>
      <w:hyperlink r:id="rId14" w:history="1">
        <w:r w:rsidRPr="005B64DF">
          <w:rPr>
            <w:rStyle w:val="Hyperlink"/>
            <w:rFonts w:ascii="Times New Roman" w:hAnsi="Times New Roman"/>
            <w:b w:val="0"/>
            <w:color w:val="auto"/>
            <w:sz w:val="22"/>
            <w:szCs w:val="22"/>
          </w:rPr>
          <w:t>manuel de l’utilisateur</w:t>
        </w:r>
      </w:hyperlink>
      <w:r w:rsidRPr="005B64DF">
        <w:rPr>
          <w:rFonts w:ascii="Times New Roman" w:hAnsi="Times New Roman"/>
          <w:b w:val="0"/>
          <w:sz w:val="22"/>
          <w:szCs w:val="22"/>
        </w:rPr>
        <w:t xml:space="preserve"> et les </w:t>
      </w:r>
      <w:hyperlink r:id="rId15" w:history="1">
        <w:r w:rsidRPr="005B64DF">
          <w:rPr>
            <w:rStyle w:val="Hyperlink"/>
            <w:rFonts w:ascii="Times New Roman" w:hAnsi="Times New Roman"/>
            <w:b w:val="0"/>
            <w:color w:val="auto"/>
            <w:sz w:val="22"/>
            <w:szCs w:val="22"/>
          </w:rPr>
          <w:t>vidéos d’apprentissage en ligne</w:t>
        </w:r>
      </w:hyperlink>
      <w:r w:rsidRPr="005B64DF">
        <w:rPr>
          <w:rFonts w:ascii="Times New Roman" w:hAnsi="Times New Roman"/>
          <w:b w:val="0"/>
          <w:sz w:val="22"/>
          <w:szCs w:val="22"/>
        </w:rPr>
        <w:t xml:space="preserve"> afin de trouver de plus amples informations sur PROSPECT. Vous pouvez également contacter notre équipe de soutien technique à l’aide du formulaire d’assistance en ligne de PROSPECT</w:t>
      </w:r>
      <w:r w:rsidR="00EE4E75" w:rsidRPr="005B64DF">
        <w:rPr>
          <w:rStyle w:val="FootnoteReference"/>
          <w:rFonts w:ascii="Times New Roman" w:hAnsi="Times New Roman"/>
          <w:b w:val="0"/>
          <w:sz w:val="22"/>
          <w:szCs w:val="22"/>
          <w:lang w:val="en-GB"/>
        </w:rPr>
        <w:footnoteReference w:id="4"/>
      </w:r>
      <w:r w:rsidRPr="005B64DF">
        <w:rPr>
          <w:rFonts w:ascii="Times New Roman" w:hAnsi="Times New Roman"/>
          <w:b w:val="0"/>
          <w:sz w:val="22"/>
          <w:szCs w:val="22"/>
        </w:rPr>
        <w:t>.</w:t>
      </w:r>
    </w:p>
    <w:p w14:paraId="450CC583" w14:textId="77777777" w:rsidR="00EE4E75" w:rsidRPr="005B64DF" w:rsidRDefault="00EE4E75" w:rsidP="00EE4E75">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szCs w:val="22"/>
          <w:lang w:val="fr-BE"/>
        </w:rPr>
        <w:sectPr w:rsidR="00EE4E75" w:rsidRPr="005B64DF" w:rsidSect="004F7E49">
          <w:headerReference w:type="even" r:id="rId16"/>
          <w:headerReference w:type="default" r:id="rId17"/>
          <w:footerReference w:type="even" r:id="rId18"/>
          <w:footerReference w:type="default" r:id="rId19"/>
          <w:headerReference w:type="first" r:id="rId20"/>
          <w:footerReference w:type="first" r:id="rId21"/>
          <w:pgSz w:w="11906" w:h="16838" w:code="9"/>
          <w:pgMar w:top="1440" w:right="1080" w:bottom="1440" w:left="1080" w:header="567" w:footer="544" w:gutter="0"/>
          <w:pgNumType w:start="1"/>
          <w:cols w:space="708"/>
          <w:titlePg/>
          <w:docGrid w:linePitch="299"/>
        </w:sectPr>
      </w:pPr>
    </w:p>
    <w:p w14:paraId="16021978" w14:textId="77777777" w:rsidR="00FC7813" w:rsidRDefault="00E51930" w:rsidP="00E76DF7">
      <w:pPr>
        <w:pStyle w:val="TOC1"/>
        <w:rPr>
          <w:rFonts w:asciiTheme="minorHAnsi" w:eastAsiaTheme="minorEastAsia" w:hAnsiTheme="minorHAnsi" w:cstheme="minorBidi"/>
          <w:noProof/>
          <w:szCs w:val="22"/>
          <w:lang w:val="en-GB" w:eastAsia="en-GB"/>
        </w:rPr>
      </w:pPr>
      <w:r w:rsidRPr="005B64DF">
        <w:rPr>
          <w:rFonts w:ascii="Times New Roman" w:hAnsi="Times New Roman"/>
          <w:szCs w:val="22"/>
        </w:rPr>
        <w:lastRenderedPageBreak/>
        <w:fldChar w:fldCharType="begin"/>
      </w:r>
      <w:r w:rsidRPr="005B64DF">
        <w:rPr>
          <w:rFonts w:ascii="Times New Roman" w:hAnsi="Times New Roman"/>
          <w:szCs w:val="22"/>
        </w:rPr>
        <w:instrText xml:space="preserve"> TOC \h \z \t "Guidelines 1,1,Guidelines 2,2,Guidelines 3,3" </w:instrText>
      </w:r>
      <w:r w:rsidRPr="005B64DF">
        <w:rPr>
          <w:rFonts w:ascii="Times New Roman" w:hAnsi="Times New Roman"/>
          <w:szCs w:val="22"/>
        </w:rPr>
        <w:fldChar w:fldCharType="separate"/>
      </w:r>
      <w:hyperlink w:anchor="_Toc182404623" w:history="1">
        <w:r w:rsidR="00FC7813" w:rsidRPr="00643424">
          <w:rPr>
            <w:rStyle w:val="Hyperlink"/>
            <w:noProof/>
          </w:rPr>
          <w:t>1.</w:t>
        </w:r>
        <w:r w:rsidR="00FC7813">
          <w:rPr>
            <w:rFonts w:asciiTheme="minorHAnsi" w:eastAsiaTheme="minorEastAsia" w:hAnsiTheme="minorHAnsi" w:cstheme="minorBidi"/>
            <w:noProof/>
            <w:szCs w:val="22"/>
            <w:lang w:val="en-GB" w:eastAsia="en-GB"/>
          </w:rPr>
          <w:tab/>
        </w:r>
        <w:r w:rsidR="00FC7813" w:rsidRPr="00643424">
          <w:rPr>
            <w:rStyle w:val="Hyperlink"/>
            <w:noProof/>
          </w:rPr>
          <w:t>SOUTIEN A L’ENGAGEMENT DE LA SOCIETE CIVILE POUR LA JEUNESSE SENEGALAISE :  ENTREPRENEURIAT DES JEUNES, PARTICIPATION PUBLIQUE ET CITOYENNE</w:t>
        </w:r>
        <w:r w:rsidR="00FC7813">
          <w:rPr>
            <w:noProof/>
            <w:webHidden/>
          </w:rPr>
          <w:tab/>
        </w:r>
        <w:r w:rsidR="00FC7813">
          <w:rPr>
            <w:noProof/>
            <w:webHidden/>
          </w:rPr>
          <w:fldChar w:fldCharType="begin"/>
        </w:r>
        <w:r w:rsidR="00FC7813">
          <w:rPr>
            <w:noProof/>
            <w:webHidden/>
          </w:rPr>
          <w:instrText xml:space="preserve"> PAGEREF _Toc182404623 \h </w:instrText>
        </w:r>
        <w:r w:rsidR="00FC7813">
          <w:rPr>
            <w:noProof/>
            <w:webHidden/>
          </w:rPr>
        </w:r>
        <w:r w:rsidR="00FC7813">
          <w:rPr>
            <w:noProof/>
            <w:webHidden/>
          </w:rPr>
          <w:fldChar w:fldCharType="separate"/>
        </w:r>
        <w:r w:rsidR="00FC7813">
          <w:rPr>
            <w:noProof/>
            <w:webHidden/>
          </w:rPr>
          <w:t>4</w:t>
        </w:r>
        <w:r w:rsidR="00FC7813">
          <w:rPr>
            <w:noProof/>
            <w:webHidden/>
          </w:rPr>
          <w:fldChar w:fldCharType="end"/>
        </w:r>
      </w:hyperlink>
    </w:p>
    <w:p w14:paraId="6997D321" w14:textId="77777777" w:rsidR="00FC7813" w:rsidRDefault="00D73631">
      <w:pPr>
        <w:pStyle w:val="TOC2"/>
        <w:rPr>
          <w:rFonts w:asciiTheme="minorHAnsi" w:eastAsiaTheme="minorEastAsia" w:hAnsiTheme="minorHAnsi" w:cstheme="minorBidi"/>
          <w:noProof/>
          <w:szCs w:val="22"/>
          <w:lang w:val="en-GB" w:eastAsia="en-GB"/>
        </w:rPr>
      </w:pPr>
      <w:hyperlink w:anchor="_Toc182404624" w:history="1">
        <w:r w:rsidR="00FC7813" w:rsidRPr="00643424">
          <w:rPr>
            <w:rStyle w:val="Hyperlink"/>
            <w:noProof/>
          </w:rPr>
          <w:t>1.1.</w:t>
        </w:r>
        <w:r w:rsidR="00FC7813">
          <w:rPr>
            <w:rFonts w:asciiTheme="minorHAnsi" w:eastAsiaTheme="minorEastAsia" w:hAnsiTheme="minorHAnsi" w:cstheme="minorBidi"/>
            <w:noProof/>
            <w:szCs w:val="22"/>
            <w:lang w:val="en-GB" w:eastAsia="en-GB"/>
          </w:rPr>
          <w:tab/>
        </w:r>
        <w:r w:rsidR="00FC7813" w:rsidRPr="00643424">
          <w:rPr>
            <w:rStyle w:val="Hyperlink"/>
            <w:noProof/>
          </w:rPr>
          <w:t>Contexte</w:t>
        </w:r>
        <w:r w:rsidR="00FC7813">
          <w:rPr>
            <w:noProof/>
            <w:webHidden/>
          </w:rPr>
          <w:tab/>
        </w:r>
        <w:r w:rsidR="00FC7813">
          <w:rPr>
            <w:noProof/>
            <w:webHidden/>
          </w:rPr>
          <w:fldChar w:fldCharType="begin"/>
        </w:r>
        <w:r w:rsidR="00FC7813">
          <w:rPr>
            <w:noProof/>
            <w:webHidden/>
          </w:rPr>
          <w:instrText xml:space="preserve"> PAGEREF _Toc182404624 \h </w:instrText>
        </w:r>
        <w:r w:rsidR="00FC7813">
          <w:rPr>
            <w:noProof/>
            <w:webHidden/>
          </w:rPr>
        </w:r>
        <w:r w:rsidR="00FC7813">
          <w:rPr>
            <w:noProof/>
            <w:webHidden/>
          </w:rPr>
          <w:fldChar w:fldCharType="separate"/>
        </w:r>
        <w:r w:rsidR="00FC7813">
          <w:rPr>
            <w:noProof/>
            <w:webHidden/>
          </w:rPr>
          <w:t>4</w:t>
        </w:r>
        <w:r w:rsidR="00FC7813">
          <w:rPr>
            <w:noProof/>
            <w:webHidden/>
          </w:rPr>
          <w:fldChar w:fldCharType="end"/>
        </w:r>
      </w:hyperlink>
    </w:p>
    <w:p w14:paraId="008B7E38" w14:textId="77777777" w:rsidR="00FC7813" w:rsidRDefault="00D73631">
      <w:pPr>
        <w:pStyle w:val="TOC2"/>
        <w:rPr>
          <w:rFonts w:asciiTheme="minorHAnsi" w:eastAsiaTheme="minorEastAsia" w:hAnsiTheme="minorHAnsi" w:cstheme="minorBidi"/>
          <w:noProof/>
          <w:szCs w:val="22"/>
          <w:lang w:val="en-GB" w:eastAsia="en-GB"/>
        </w:rPr>
      </w:pPr>
      <w:hyperlink w:anchor="_Toc182404625" w:history="1">
        <w:r w:rsidR="00FC7813" w:rsidRPr="00643424">
          <w:rPr>
            <w:rStyle w:val="Hyperlink"/>
            <w:noProof/>
          </w:rPr>
          <w:t>1.2.</w:t>
        </w:r>
        <w:r w:rsidR="00FC7813">
          <w:rPr>
            <w:rFonts w:asciiTheme="minorHAnsi" w:eastAsiaTheme="minorEastAsia" w:hAnsiTheme="minorHAnsi" w:cstheme="minorBidi"/>
            <w:noProof/>
            <w:szCs w:val="22"/>
            <w:lang w:val="en-GB" w:eastAsia="en-GB"/>
          </w:rPr>
          <w:tab/>
        </w:r>
        <w:r w:rsidR="00FC7813" w:rsidRPr="00643424">
          <w:rPr>
            <w:rStyle w:val="Hyperlink"/>
            <w:noProof/>
          </w:rPr>
          <w:t>Objectifs du programme et priorités</w:t>
        </w:r>
        <w:r w:rsidR="00FC7813">
          <w:rPr>
            <w:noProof/>
            <w:webHidden/>
          </w:rPr>
          <w:tab/>
        </w:r>
        <w:r w:rsidR="00FC7813">
          <w:rPr>
            <w:noProof/>
            <w:webHidden/>
          </w:rPr>
          <w:fldChar w:fldCharType="begin"/>
        </w:r>
        <w:r w:rsidR="00FC7813">
          <w:rPr>
            <w:noProof/>
            <w:webHidden/>
          </w:rPr>
          <w:instrText xml:space="preserve"> PAGEREF _Toc182404625 \h </w:instrText>
        </w:r>
        <w:r w:rsidR="00FC7813">
          <w:rPr>
            <w:noProof/>
            <w:webHidden/>
          </w:rPr>
        </w:r>
        <w:r w:rsidR="00FC7813">
          <w:rPr>
            <w:noProof/>
            <w:webHidden/>
          </w:rPr>
          <w:fldChar w:fldCharType="separate"/>
        </w:r>
        <w:r w:rsidR="00FC7813">
          <w:rPr>
            <w:noProof/>
            <w:webHidden/>
          </w:rPr>
          <w:t>6</w:t>
        </w:r>
        <w:r w:rsidR="00FC7813">
          <w:rPr>
            <w:noProof/>
            <w:webHidden/>
          </w:rPr>
          <w:fldChar w:fldCharType="end"/>
        </w:r>
      </w:hyperlink>
    </w:p>
    <w:p w14:paraId="0275ED09" w14:textId="77777777" w:rsidR="00FC7813" w:rsidRDefault="00D73631">
      <w:pPr>
        <w:pStyle w:val="TOC2"/>
        <w:rPr>
          <w:rFonts w:asciiTheme="minorHAnsi" w:eastAsiaTheme="minorEastAsia" w:hAnsiTheme="minorHAnsi" w:cstheme="minorBidi"/>
          <w:noProof/>
          <w:szCs w:val="22"/>
          <w:lang w:val="en-GB" w:eastAsia="en-GB"/>
        </w:rPr>
      </w:pPr>
      <w:hyperlink w:anchor="_Toc182404626" w:history="1">
        <w:r w:rsidR="00FC7813" w:rsidRPr="00643424">
          <w:rPr>
            <w:rStyle w:val="Hyperlink"/>
            <w:noProof/>
          </w:rPr>
          <w:t>1.3.</w:t>
        </w:r>
        <w:r w:rsidR="00FC7813">
          <w:rPr>
            <w:rFonts w:asciiTheme="minorHAnsi" w:eastAsiaTheme="minorEastAsia" w:hAnsiTheme="minorHAnsi" w:cstheme="minorBidi"/>
            <w:noProof/>
            <w:szCs w:val="22"/>
            <w:lang w:val="en-GB" w:eastAsia="en-GB"/>
          </w:rPr>
          <w:tab/>
        </w:r>
        <w:r w:rsidR="00FC7813" w:rsidRPr="00643424">
          <w:rPr>
            <w:rStyle w:val="Hyperlink"/>
            <w:noProof/>
          </w:rPr>
          <w:t>Montant de l’enveloppe financière mise à disposition par l’administration contractante</w:t>
        </w:r>
        <w:r w:rsidR="00FC7813">
          <w:rPr>
            <w:noProof/>
            <w:webHidden/>
          </w:rPr>
          <w:tab/>
        </w:r>
        <w:r w:rsidR="00FC7813">
          <w:rPr>
            <w:noProof/>
            <w:webHidden/>
          </w:rPr>
          <w:fldChar w:fldCharType="begin"/>
        </w:r>
        <w:r w:rsidR="00FC7813">
          <w:rPr>
            <w:noProof/>
            <w:webHidden/>
          </w:rPr>
          <w:instrText xml:space="preserve"> PAGEREF _Toc182404626 \h </w:instrText>
        </w:r>
        <w:r w:rsidR="00FC7813">
          <w:rPr>
            <w:noProof/>
            <w:webHidden/>
          </w:rPr>
        </w:r>
        <w:r w:rsidR="00FC7813">
          <w:rPr>
            <w:noProof/>
            <w:webHidden/>
          </w:rPr>
          <w:fldChar w:fldCharType="separate"/>
        </w:r>
        <w:r w:rsidR="00FC7813">
          <w:rPr>
            <w:noProof/>
            <w:webHidden/>
          </w:rPr>
          <w:t>8</w:t>
        </w:r>
        <w:r w:rsidR="00FC7813">
          <w:rPr>
            <w:noProof/>
            <w:webHidden/>
          </w:rPr>
          <w:fldChar w:fldCharType="end"/>
        </w:r>
      </w:hyperlink>
    </w:p>
    <w:p w14:paraId="011318B7" w14:textId="77777777" w:rsidR="00FC7813" w:rsidRDefault="00D73631" w:rsidP="00E76DF7">
      <w:pPr>
        <w:pStyle w:val="TOC1"/>
        <w:rPr>
          <w:rFonts w:asciiTheme="minorHAnsi" w:eastAsiaTheme="minorEastAsia" w:hAnsiTheme="minorHAnsi" w:cstheme="minorBidi"/>
          <w:noProof/>
          <w:szCs w:val="22"/>
          <w:lang w:val="en-GB" w:eastAsia="en-GB"/>
        </w:rPr>
      </w:pPr>
      <w:hyperlink w:anchor="_Toc182404627" w:history="1">
        <w:r w:rsidR="00FC7813" w:rsidRPr="00643424">
          <w:rPr>
            <w:rStyle w:val="Hyperlink"/>
            <w:noProof/>
          </w:rPr>
          <w:t>2.</w:t>
        </w:r>
        <w:r w:rsidR="00FC7813">
          <w:rPr>
            <w:rFonts w:asciiTheme="minorHAnsi" w:eastAsiaTheme="minorEastAsia" w:hAnsiTheme="minorHAnsi" w:cstheme="minorBidi"/>
            <w:noProof/>
            <w:szCs w:val="22"/>
            <w:lang w:val="en-GB" w:eastAsia="en-GB"/>
          </w:rPr>
          <w:tab/>
        </w:r>
        <w:r w:rsidR="00FC7813" w:rsidRPr="00643424">
          <w:rPr>
            <w:rStyle w:val="Hyperlink"/>
            <w:noProof/>
          </w:rPr>
          <w:t>Règles applicables au présent appel à propositions</w:t>
        </w:r>
        <w:r w:rsidR="00FC7813">
          <w:rPr>
            <w:noProof/>
            <w:webHidden/>
          </w:rPr>
          <w:tab/>
        </w:r>
        <w:r w:rsidR="00FC7813">
          <w:rPr>
            <w:noProof/>
            <w:webHidden/>
          </w:rPr>
          <w:fldChar w:fldCharType="begin"/>
        </w:r>
        <w:r w:rsidR="00FC7813">
          <w:rPr>
            <w:noProof/>
            <w:webHidden/>
          </w:rPr>
          <w:instrText xml:space="preserve"> PAGEREF _Toc182404627 \h </w:instrText>
        </w:r>
        <w:r w:rsidR="00FC7813">
          <w:rPr>
            <w:noProof/>
            <w:webHidden/>
          </w:rPr>
        </w:r>
        <w:r w:rsidR="00FC7813">
          <w:rPr>
            <w:noProof/>
            <w:webHidden/>
          </w:rPr>
          <w:fldChar w:fldCharType="separate"/>
        </w:r>
        <w:r w:rsidR="00FC7813">
          <w:rPr>
            <w:noProof/>
            <w:webHidden/>
          </w:rPr>
          <w:t>9</w:t>
        </w:r>
        <w:r w:rsidR="00FC7813">
          <w:rPr>
            <w:noProof/>
            <w:webHidden/>
          </w:rPr>
          <w:fldChar w:fldCharType="end"/>
        </w:r>
      </w:hyperlink>
    </w:p>
    <w:p w14:paraId="54A7C40F" w14:textId="77777777" w:rsidR="00FC7813" w:rsidRDefault="00D73631">
      <w:pPr>
        <w:pStyle w:val="TOC2"/>
        <w:rPr>
          <w:rFonts w:asciiTheme="minorHAnsi" w:eastAsiaTheme="minorEastAsia" w:hAnsiTheme="minorHAnsi" w:cstheme="minorBidi"/>
          <w:noProof/>
          <w:szCs w:val="22"/>
          <w:lang w:val="en-GB" w:eastAsia="en-GB"/>
        </w:rPr>
      </w:pPr>
      <w:hyperlink w:anchor="_Toc182404628" w:history="1">
        <w:r w:rsidR="00FC7813" w:rsidRPr="00643424">
          <w:rPr>
            <w:rStyle w:val="Hyperlink"/>
            <w:noProof/>
          </w:rPr>
          <w:t>2.1.</w:t>
        </w:r>
        <w:r w:rsidR="00FC7813">
          <w:rPr>
            <w:rFonts w:asciiTheme="minorHAnsi" w:eastAsiaTheme="minorEastAsia" w:hAnsiTheme="minorHAnsi" w:cstheme="minorBidi"/>
            <w:noProof/>
            <w:szCs w:val="22"/>
            <w:lang w:val="en-GB" w:eastAsia="en-GB"/>
          </w:rPr>
          <w:tab/>
        </w:r>
        <w:r w:rsidR="00FC7813" w:rsidRPr="00643424">
          <w:rPr>
            <w:rStyle w:val="Hyperlink"/>
            <w:noProof/>
          </w:rPr>
          <w:t>Critères d’éligibilité</w:t>
        </w:r>
        <w:r w:rsidR="00FC7813">
          <w:rPr>
            <w:noProof/>
            <w:webHidden/>
          </w:rPr>
          <w:tab/>
        </w:r>
        <w:r w:rsidR="00FC7813">
          <w:rPr>
            <w:noProof/>
            <w:webHidden/>
          </w:rPr>
          <w:fldChar w:fldCharType="begin"/>
        </w:r>
        <w:r w:rsidR="00FC7813">
          <w:rPr>
            <w:noProof/>
            <w:webHidden/>
          </w:rPr>
          <w:instrText xml:space="preserve"> PAGEREF _Toc182404628 \h </w:instrText>
        </w:r>
        <w:r w:rsidR="00FC7813">
          <w:rPr>
            <w:noProof/>
            <w:webHidden/>
          </w:rPr>
        </w:r>
        <w:r w:rsidR="00FC7813">
          <w:rPr>
            <w:noProof/>
            <w:webHidden/>
          </w:rPr>
          <w:fldChar w:fldCharType="separate"/>
        </w:r>
        <w:r w:rsidR="00FC7813">
          <w:rPr>
            <w:noProof/>
            <w:webHidden/>
          </w:rPr>
          <w:t>9</w:t>
        </w:r>
        <w:r w:rsidR="00FC7813">
          <w:rPr>
            <w:noProof/>
            <w:webHidden/>
          </w:rPr>
          <w:fldChar w:fldCharType="end"/>
        </w:r>
      </w:hyperlink>
    </w:p>
    <w:p w14:paraId="43195F04" w14:textId="77777777" w:rsidR="00FC7813" w:rsidRDefault="00D73631">
      <w:pPr>
        <w:pStyle w:val="TOC3"/>
        <w:rPr>
          <w:rFonts w:asciiTheme="minorHAnsi" w:eastAsiaTheme="minorEastAsia" w:hAnsiTheme="minorHAnsi" w:cstheme="minorBidi"/>
          <w:sz w:val="22"/>
          <w:szCs w:val="22"/>
          <w:lang w:val="en-GB" w:eastAsia="en-GB"/>
        </w:rPr>
      </w:pPr>
      <w:hyperlink w:anchor="_Toc182404629" w:history="1">
        <w:r w:rsidR="00FC7813" w:rsidRPr="00643424">
          <w:rPr>
            <w:rStyle w:val="Hyperlink"/>
            <w:rFonts w:ascii="Times New Roman Bold" w:hAnsi="Times New Roman Bold"/>
          </w:rPr>
          <w:t>2.1.1.</w:t>
        </w:r>
        <w:r w:rsidR="00FC7813">
          <w:rPr>
            <w:rFonts w:asciiTheme="minorHAnsi" w:eastAsiaTheme="minorEastAsia" w:hAnsiTheme="minorHAnsi" w:cstheme="minorBidi"/>
            <w:sz w:val="22"/>
            <w:szCs w:val="22"/>
            <w:lang w:val="en-GB" w:eastAsia="en-GB"/>
          </w:rPr>
          <w:tab/>
        </w:r>
        <w:r w:rsidR="00FC7813" w:rsidRPr="00643424">
          <w:rPr>
            <w:rStyle w:val="Hyperlink"/>
          </w:rPr>
          <w:t>Éligibilité des demandeurs (demandeur chef de file et codemandeur(s))</w:t>
        </w:r>
        <w:r w:rsidR="00FC7813">
          <w:rPr>
            <w:webHidden/>
          </w:rPr>
          <w:tab/>
        </w:r>
        <w:r w:rsidR="00FC7813">
          <w:rPr>
            <w:webHidden/>
          </w:rPr>
          <w:fldChar w:fldCharType="begin"/>
        </w:r>
        <w:r w:rsidR="00FC7813">
          <w:rPr>
            <w:webHidden/>
          </w:rPr>
          <w:instrText xml:space="preserve"> PAGEREF _Toc182404629 \h </w:instrText>
        </w:r>
        <w:r w:rsidR="00FC7813">
          <w:rPr>
            <w:webHidden/>
          </w:rPr>
        </w:r>
        <w:r w:rsidR="00FC7813">
          <w:rPr>
            <w:webHidden/>
          </w:rPr>
          <w:fldChar w:fldCharType="separate"/>
        </w:r>
        <w:r w:rsidR="00FC7813">
          <w:rPr>
            <w:webHidden/>
          </w:rPr>
          <w:t>9</w:t>
        </w:r>
        <w:r w:rsidR="00FC7813">
          <w:rPr>
            <w:webHidden/>
          </w:rPr>
          <w:fldChar w:fldCharType="end"/>
        </w:r>
      </w:hyperlink>
    </w:p>
    <w:p w14:paraId="3F5F037B" w14:textId="77777777" w:rsidR="00FC7813" w:rsidRDefault="00D73631">
      <w:pPr>
        <w:pStyle w:val="TOC3"/>
        <w:rPr>
          <w:rFonts w:asciiTheme="minorHAnsi" w:eastAsiaTheme="minorEastAsia" w:hAnsiTheme="minorHAnsi" w:cstheme="minorBidi"/>
          <w:sz w:val="22"/>
          <w:szCs w:val="22"/>
          <w:lang w:val="en-GB" w:eastAsia="en-GB"/>
        </w:rPr>
      </w:pPr>
      <w:hyperlink w:anchor="_Toc182404630" w:history="1">
        <w:r w:rsidR="00FC7813" w:rsidRPr="00643424">
          <w:rPr>
            <w:rStyle w:val="Hyperlink"/>
            <w:rFonts w:ascii="Times New Roman Bold" w:hAnsi="Times New Roman Bold"/>
          </w:rPr>
          <w:t>2.1.2.</w:t>
        </w:r>
        <w:r w:rsidR="00FC7813">
          <w:rPr>
            <w:rFonts w:asciiTheme="minorHAnsi" w:eastAsiaTheme="minorEastAsia" w:hAnsiTheme="minorHAnsi" w:cstheme="minorBidi"/>
            <w:sz w:val="22"/>
            <w:szCs w:val="22"/>
            <w:lang w:val="en-GB" w:eastAsia="en-GB"/>
          </w:rPr>
          <w:tab/>
        </w:r>
        <w:r w:rsidR="00FC7813" w:rsidRPr="00643424">
          <w:rPr>
            <w:rStyle w:val="Hyperlink"/>
          </w:rPr>
          <w:t>Associés et contractants</w:t>
        </w:r>
        <w:r w:rsidR="00FC7813">
          <w:rPr>
            <w:webHidden/>
          </w:rPr>
          <w:tab/>
        </w:r>
        <w:r w:rsidR="00FC7813">
          <w:rPr>
            <w:webHidden/>
          </w:rPr>
          <w:fldChar w:fldCharType="begin"/>
        </w:r>
        <w:r w:rsidR="00FC7813">
          <w:rPr>
            <w:webHidden/>
          </w:rPr>
          <w:instrText xml:space="preserve"> PAGEREF _Toc182404630 \h </w:instrText>
        </w:r>
        <w:r w:rsidR="00FC7813">
          <w:rPr>
            <w:webHidden/>
          </w:rPr>
        </w:r>
        <w:r w:rsidR="00FC7813">
          <w:rPr>
            <w:webHidden/>
          </w:rPr>
          <w:fldChar w:fldCharType="separate"/>
        </w:r>
        <w:r w:rsidR="00FC7813">
          <w:rPr>
            <w:webHidden/>
          </w:rPr>
          <w:t>12</w:t>
        </w:r>
        <w:r w:rsidR="00FC7813">
          <w:rPr>
            <w:webHidden/>
          </w:rPr>
          <w:fldChar w:fldCharType="end"/>
        </w:r>
      </w:hyperlink>
    </w:p>
    <w:p w14:paraId="3B155628" w14:textId="77777777" w:rsidR="00FC7813" w:rsidRDefault="00D73631">
      <w:pPr>
        <w:pStyle w:val="TOC3"/>
        <w:rPr>
          <w:rFonts w:asciiTheme="minorHAnsi" w:eastAsiaTheme="minorEastAsia" w:hAnsiTheme="minorHAnsi" w:cstheme="minorBidi"/>
          <w:sz w:val="22"/>
          <w:szCs w:val="22"/>
          <w:lang w:val="en-GB" w:eastAsia="en-GB"/>
        </w:rPr>
      </w:pPr>
      <w:hyperlink w:anchor="_Toc182404631" w:history="1">
        <w:r w:rsidR="00FC7813" w:rsidRPr="00643424">
          <w:rPr>
            <w:rStyle w:val="Hyperlink"/>
            <w:rFonts w:ascii="Times New Roman Bold" w:hAnsi="Times New Roman Bold"/>
          </w:rPr>
          <w:t>2.1.3.</w:t>
        </w:r>
        <w:r w:rsidR="00FC7813">
          <w:rPr>
            <w:rFonts w:asciiTheme="minorHAnsi" w:eastAsiaTheme="minorEastAsia" w:hAnsiTheme="minorHAnsi" w:cstheme="minorBidi"/>
            <w:sz w:val="22"/>
            <w:szCs w:val="22"/>
            <w:lang w:val="en-GB" w:eastAsia="en-GB"/>
          </w:rPr>
          <w:tab/>
        </w:r>
        <w:r w:rsidR="00FC7813" w:rsidRPr="00643424">
          <w:rPr>
            <w:rStyle w:val="Hyperlink"/>
          </w:rPr>
          <w:t>Actions éligibles: pour quelles actions une demande peut-elle être présentée?</w:t>
        </w:r>
        <w:r w:rsidR="00FC7813">
          <w:rPr>
            <w:webHidden/>
          </w:rPr>
          <w:tab/>
        </w:r>
        <w:r w:rsidR="00FC7813">
          <w:rPr>
            <w:webHidden/>
          </w:rPr>
          <w:fldChar w:fldCharType="begin"/>
        </w:r>
        <w:r w:rsidR="00FC7813">
          <w:rPr>
            <w:webHidden/>
          </w:rPr>
          <w:instrText xml:space="preserve"> PAGEREF _Toc182404631 \h </w:instrText>
        </w:r>
        <w:r w:rsidR="00FC7813">
          <w:rPr>
            <w:webHidden/>
          </w:rPr>
        </w:r>
        <w:r w:rsidR="00FC7813">
          <w:rPr>
            <w:webHidden/>
          </w:rPr>
          <w:fldChar w:fldCharType="separate"/>
        </w:r>
        <w:r w:rsidR="00FC7813">
          <w:rPr>
            <w:webHidden/>
          </w:rPr>
          <w:t>13</w:t>
        </w:r>
        <w:r w:rsidR="00FC7813">
          <w:rPr>
            <w:webHidden/>
          </w:rPr>
          <w:fldChar w:fldCharType="end"/>
        </w:r>
      </w:hyperlink>
    </w:p>
    <w:p w14:paraId="3C971985" w14:textId="77777777" w:rsidR="00FC7813" w:rsidRDefault="00D73631">
      <w:pPr>
        <w:pStyle w:val="TOC3"/>
        <w:rPr>
          <w:rFonts w:asciiTheme="minorHAnsi" w:eastAsiaTheme="minorEastAsia" w:hAnsiTheme="minorHAnsi" w:cstheme="minorBidi"/>
          <w:sz w:val="22"/>
          <w:szCs w:val="22"/>
          <w:lang w:val="en-GB" w:eastAsia="en-GB"/>
        </w:rPr>
      </w:pPr>
      <w:hyperlink w:anchor="_Toc182404632" w:history="1">
        <w:r w:rsidR="00FC7813" w:rsidRPr="00643424">
          <w:rPr>
            <w:rStyle w:val="Hyperlink"/>
            <w:rFonts w:ascii="Times New Roman Bold" w:hAnsi="Times New Roman Bold"/>
          </w:rPr>
          <w:t>2.1.4.</w:t>
        </w:r>
        <w:r w:rsidR="00FC7813">
          <w:rPr>
            <w:rFonts w:asciiTheme="minorHAnsi" w:eastAsiaTheme="minorEastAsia" w:hAnsiTheme="minorHAnsi" w:cstheme="minorBidi"/>
            <w:sz w:val="22"/>
            <w:szCs w:val="22"/>
            <w:lang w:val="en-GB" w:eastAsia="en-GB"/>
          </w:rPr>
          <w:tab/>
        </w:r>
        <w:r w:rsidR="00FC7813" w:rsidRPr="00643424">
          <w:rPr>
            <w:rStyle w:val="Hyperlink"/>
          </w:rPr>
          <w:t>Éligibilité des coûts: quels coûts peuvent être inclus?</w:t>
        </w:r>
        <w:r w:rsidR="00FC7813">
          <w:rPr>
            <w:webHidden/>
          </w:rPr>
          <w:tab/>
        </w:r>
        <w:r w:rsidR="00FC7813">
          <w:rPr>
            <w:webHidden/>
          </w:rPr>
          <w:fldChar w:fldCharType="begin"/>
        </w:r>
        <w:r w:rsidR="00FC7813">
          <w:rPr>
            <w:webHidden/>
          </w:rPr>
          <w:instrText xml:space="preserve"> PAGEREF _Toc182404632 \h </w:instrText>
        </w:r>
        <w:r w:rsidR="00FC7813">
          <w:rPr>
            <w:webHidden/>
          </w:rPr>
        </w:r>
        <w:r w:rsidR="00FC7813">
          <w:rPr>
            <w:webHidden/>
          </w:rPr>
          <w:fldChar w:fldCharType="separate"/>
        </w:r>
        <w:r w:rsidR="00FC7813">
          <w:rPr>
            <w:webHidden/>
          </w:rPr>
          <w:t>17</w:t>
        </w:r>
        <w:r w:rsidR="00FC7813">
          <w:rPr>
            <w:webHidden/>
          </w:rPr>
          <w:fldChar w:fldCharType="end"/>
        </w:r>
      </w:hyperlink>
    </w:p>
    <w:p w14:paraId="0BBAC6C1" w14:textId="77777777" w:rsidR="00FC7813" w:rsidRDefault="00D73631">
      <w:pPr>
        <w:pStyle w:val="TOC3"/>
        <w:rPr>
          <w:rFonts w:asciiTheme="minorHAnsi" w:eastAsiaTheme="minorEastAsia" w:hAnsiTheme="minorHAnsi" w:cstheme="minorBidi"/>
          <w:sz w:val="22"/>
          <w:szCs w:val="22"/>
          <w:lang w:val="en-GB" w:eastAsia="en-GB"/>
        </w:rPr>
      </w:pPr>
      <w:hyperlink w:anchor="_Toc182404633" w:history="1">
        <w:r w:rsidR="00FC7813" w:rsidRPr="00643424">
          <w:rPr>
            <w:rStyle w:val="Hyperlink"/>
            <w:rFonts w:ascii="Times New Roman Bold" w:hAnsi="Times New Roman Bold"/>
          </w:rPr>
          <w:t>2.1.5.</w:t>
        </w:r>
        <w:r w:rsidR="00FC7813">
          <w:rPr>
            <w:rFonts w:asciiTheme="minorHAnsi" w:eastAsiaTheme="minorEastAsia" w:hAnsiTheme="minorHAnsi" w:cstheme="minorBidi"/>
            <w:sz w:val="22"/>
            <w:szCs w:val="22"/>
            <w:lang w:val="en-GB" w:eastAsia="en-GB"/>
          </w:rPr>
          <w:tab/>
        </w:r>
        <w:r w:rsidR="00FC7813" w:rsidRPr="00643424">
          <w:rPr>
            <w:rStyle w:val="Hyperlink"/>
          </w:rPr>
          <w:t>Clauses déontologiques et code de conduite</w:t>
        </w:r>
        <w:r w:rsidR="00FC7813">
          <w:rPr>
            <w:webHidden/>
          </w:rPr>
          <w:tab/>
        </w:r>
        <w:r w:rsidR="00FC7813">
          <w:rPr>
            <w:webHidden/>
          </w:rPr>
          <w:fldChar w:fldCharType="begin"/>
        </w:r>
        <w:r w:rsidR="00FC7813">
          <w:rPr>
            <w:webHidden/>
          </w:rPr>
          <w:instrText xml:space="preserve"> PAGEREF _Toc182404633 \h </w:instrText>
        </w:r>
        <w:r w:rsidR="00FC7813">
          <w:rPr>
            <w:webHidden/>
          </w:rPr>
        </w:r>
        <w:r w:rsidR="00FC7813">
          <w:rPr>
            <w:webHidden/>
          </w:rPr>
          <w:fldChar w:fldCharType="separate"/>
        </w:r>
        <w:r w:rsidR="00FC7813">
          <w:rPr>
            <w:webHidden/>
          </w:rPr>
          <w:t>20</w:t>
        </w:r>
        <w:r w:rsidR="00FC7813">
          <w:rPr>
            <w:webHidden/>
          </w:rPr>
          <w:fldChar w:fldCharType="end"/>
        </w:r>
      </w:hyperlink>
    </w:p>
    <w:p w14:paraId="17679FE0" w14:textId="77777777" w:rsidR="00FC7813" w:rsidRDefault="00D73631">
      <w:pPr>
        <w:pStyle w:val="TOC2"/>
        <w:rPr>
          <w:rFonts w:asciiTheme="minorHAnsi" w:eastAsiaTheme="minorEastAsia" w:hAnsiTheme="minorHAnsi" w:cstheme="minorBidi"/>
          <w:noProof/>
          <w:szCs w:val="22"/>
          <w:lang w:val="en-GB" w:eastAsia="en-GB"/>
        </w:rPr>
      </w:pPr>
      <w:hyperlink w:anchor="_Toc182404634" w:history="1">
        <w:r w:rsidR="00FC7813" w:rsidRPr="00643424">
          <w:rPr>
            <w:rStyle w:val="Hyperlink"/>
            <w:noProof/>
          </w:rPr>
          <w:t>2.2.</w:t>
        </w:r>
        <w:r w:rsidR="00FC7813">
          <w:rPr>
            <w:rFonts w:asciiTheme="minorHAnsi" w:eastAsiaTheme="minorEastAsia" w:hAnsiTheme="minorHAnsi" w:cstheme="minorBidi"/>
            <w:noProof/>
            <w:szCs w:val="22"/>
            <w:lang w:val="en-GB" w:eastAsia="en-GB"/>
          </w:rPr>
          <w:tab/>
        </w:r>
        <w:r w:rsidR="00FC7813" w:rsidRPr="00643424">
          <w:rPr>
            <w:rStyle w:val="Hyperlink"/>
            <w:noProof/>
          </w:rPr>
          <w:t>Présentation de la demande et procédures à suivre</w:t>
        </w:r>
        <w:r w:rsidR="00FC7813">
          <w:rPr>
            <w:noProof/>
            <w:webHidden/>
          </w:rPr>
          <w:tab/>
        </w:r>
        <w:r w:rsidR="00FC7813">
          <w:rPr>
            <w:noProof/>
            <w:webHidden/>
          </w:rPr>
          <w:fldChar w:fldCharType="begin"/>
        </w:r>
        <w:r w:rsidR="00FC7813">
          <w:rPr>
            <w:noProof/>
            <w:webHidden/>
          </w:rPr>
          <w:instrText xml:space="preserve"> PAGEREF _Toc182404634 \h </w:instrText>
        </w:r>
        <w:r w:rsidR="00FC7813">
          <w:rPr>
            <w:noProof/>
            <w:webHidden/>
          </w:rPr>
        </w:r>
        <w:r w:rsidR="00FC7813">
          <w:rPr>
            <w:noProof/>
            <w:webHidden/>
          </w:rPr>
          <w:fldChar w:fldCharType="separate"/>
        </w:r>
        <w:r w:rsidR="00FC7813">
          <w:rPr>
            <w:noProof/>
            <w:webHidden/>
          </w:rPr>
          <w:t>21</w:t>
        </w:r>
        <w:r w:rsidR="00FC7813">
          <w:rPr>
            <w:noProof/>
            <w:webHidden/>
          </w:rPr>
          <w:fldChar w:fldCharType="end"/>
        </w:r>
      </w:hyperlink>
    </w:p>
    <w:p w14:paraId="7D6D0BF8" w14:textId="77777777" w:rsidR="00FC7813" w:rsidRDefault="00D73631">
      <w:pPr>
        <w:pStyle w:val="TOC3"/>
        <w:rPr>
          <w:rFonts w:asciiTheme="minorHAnsi" w:eastAsiaTheme="minorEastAsia" w:hAnsiTheme="minorHAnsi" w:cstheme="minorBidi"/>
          <w:sz w:val="22"/>
          <w:szCs w:val="22"/>
          <w:lang w:val="en-GB" w:eastAsia="en-GB"/>
        </w:rPr>
      </w:pPr>
      <w:hyperlink w:anchor="_Toc182404635" w:history="1">
        <w:r w:rsidR="00FC7813" w:rsidRPr="00643424">
          <w:rPr>
            <w:rStyle w:val="Hyperlink"/>
            <w:rFonts w:ascii="Times New Roman Bold" w:hAnsi="Times New Roman Bold"/>
          </w:rPr>
          <w:t>2.2.1.</w:t>
        </w:r>
        <w:r w:rsidR="00FC7813">
          <w:rPr>
            <w:rFonts w:asciiTheme="minorHAnsi" w:eastAsiaTheme="minorEastAsia" w:hAnsiTheme="minorHAnsi" w:cstheme="minorBidi"/>
            <w:sz w:val="22"/>
            <w:szCs w:val="22"/>
            <w:lang w:val="en-GB" w:eastAsia="en-GB"/>
          </w:rPr>
          <w:tab/>
        </w:r>
        <w:r w:rsidR="00FC7813" w:rsidRPr="00643424">
          <w:rPr>
            <w:rStyle w:val="Hyperlink"/>
          </w:rPr>
          <w:t>Contenu de la note succincte de présentation</w:t>
        </w:r>
        <w:r w:rsidR="00FC7813">
          <w:rPr>
            <w:webHidden/>
          </w:rPr>
          <w:tab/>
        </w:r>
        <w:r w:rsidR="00FC7813">
          <w:rPr>
            <w:webHidden/>
          </w:rPr>
          <w:fldChar w:fldCharType="begin"/>
        </w:r>
        <w:r w:rsidR="00FC7813">
          <w:rPr>
            <w:webHidden/>
          </w:rPr>
          <w:instrText xml:space="preserve"> PAGEREF _Toc182404635 \h </w:instrText>
        </w:r>
        <w:r w:rsidR="00FC7813">
          <w:rPr>
            <w:webHidden/>
          </w:rPr>
        </w:r>
        <w:r w:rsidR="00FC7813">
          <w:rPr>
            <w:webHidden/>
          </w:rPr>
          <w:fldChar w:fldCharType="separate"/>
        </w:r>
        <w:r w:rsidR="00FC7813">
          <w:rPr>
            <w:webHidden/>
          </w:rPr>
          <w:t>22</w:t>
        </w:r>
        <w:r w:rsidR="00FC7813">
          <w:rPr>
            <w:webHidden/>
          </w:rPr>
          <w:fldChar w:fldCharType="end"/>
        </w:r>
      </w:hyperlink>
    </w:p>
    <w:p w14:paraId="5B7120C1" w14:textId="77777777" w:rsidR="00FC7813" w:rsidRDefault="00D73631">
      <w:pPr>
        <w:pStyle w:val="TOC3"/>
        <w:rPr>
          <w:rFonts w:asciiTheme="minorHAnsi" w:eastAsiaTheme="minorEastAsia" w:hAnsiTheme="minorHAnsi" w:cstheme="minorBidi"/>
          <w:sz w:val="22"/>
          <w:szCs w:val="22"/>
          <w:lang w:val="en-GB" w:eastAsia="en-GB"/>
        </w:rPr>
      </w:pPr>
      <w:hyperlink w:anchor="_Toc182404636" w:history="1">
        <w:r w:rsidR="00FC7813" w:rsidRPr="00643424">
          <w:rPr>
            <w:rStyle w:val="Hyperlink"/>
            <w:rFonts w:ascii="Times New Roman Bold" w:hAnsi="Times New Roman Bold"/>
          </w:rPr>
          <w:t>2.2.2.</w:t>
        </w:r>
        <w:r w:rsidR="00FC7813">
          <w:rPr>
            <w:rFonts w:asciiTheme="minorHAnsi" w:eastAsiaTheme="minorEastAsia" w:hAnsiTheme="minorHAnsi" w:cstheme="minorBidi"/>
            <w:sz w:val="22"/>
            <w:szCs w:val="22"/>
            <w:lang w:val="en-GB" w:eastAsia="en-GB"/>
          </w:rPr>
          <w:tab/>
        </w:r>
        <w:r w:rsidR="00FC7813" w:rsidRPr="00643424">
          <w:rPr>
            <w:rStyle w:val="Hyperlink"/>
          </w:rPr>
          <w:t>Où et comment envoyer la note succincte de présentation?</w:t>
        </w:r>
        <w:r w:rsidR="00FC7813">
          <w:rPr>
            <w:webHidden/>
          </w:rPr>
          <w:tab/>
        </w:r>
        <w:r w:rsidR="00FC7813">
          <w:rPr>
            <w:webHidden/>
          </w:rPr>
          <w:fldChar w:fldCharType="begin"/>
        </w:r>
        <w:r w:rsidR="00FC7813">
          <w:rPr>
            <w:webHidden/>
          </w:rPr>
          <w:instrText xml:space="preserve"> PAGEREF _Toc182404636 \h </w:instrText>
        </w:r>
        <w:r w:rsidR="00FC7813">
          <w:rPr>
            <w:webHidden/>
          </w:rPr>
        </w:r>
        <w:r w:rsidR="00FC7813">
          <w:rPr>
            <w:webHidden/>
          </w:rPr>
          <w:fldChar w:fldCharType="separate"/>
        </w:r>
        <w:r w:rsidR="00FC7813">
          <w:rPr>
            <w:webHidden/>
          </w:rPr>
          <w:t>23</w:t>
        </w:r>
        <w:r w:rsidR="00FC7813">
          <w:rPr>
            <w:webHidden/>
          </w:rPr>
          <w:fldChar w:fldCharType="end"/>
        </w:r>
      </w:hyperlink>
    </w:p>
    <w:p w14:paraId="1E02691A" w14:textId="77777777" w:rsidR="00FC7813" w:rsidRDefault="00D73631">
      <w:pPr>
        <w:pStyle w:val="TOC3"/>
        <w:rPr>
          <w:rFonts w:asciiTheme="minorHAnsi" w:eastAsiaTheme="minorEastAsia" w:hAnsiTheme="minorHAnsi" w:cstheme="minorBidi"/>
          <w:sz w:val="22"/>
          <w:szCs w:val="22"/>
          <w:lang w:val="en-GB" w:eastAsia="en-GB"/>
        </w:rPr>
      </w:pPr>
      <w:hyperlink w:anchor="_Toc182404637" w:history="1">
        <w:r w:rsidR="00FC7813" w:rsidRPr="00643424">
          <w:rPr>
            <w:rStyle w:val="Hyperlink"/>
            <w:rFonts w:ascii="Times New Roman Bold" w:hAnsi="Times New Roman Bold"/>
          </w:rPr>
          <w:t>2.2.3.</w:t>
        </w:r>
        <w:r w:rsidR="00FC7813">
          <w:rPr>
            <w:rFonts w:asciiTheme="minorHAnsi" w:eastAsiaTheme="minorEastAsia" w:hAnsiTheme="minorHAnsi" w:cstheme="minorBidi"/>
            <w:sz w:val="22"/>
            <w:szCs w:val="22"/>
            <w:lang w:val="en-GB" w:eastAsia="en-GB"/>
          </w:rPr>
          <w:tab/>
        </w:r>
        <w:r w:rsidR="00FC7813" w:rsidRPr="00643424">
          <w:rPr>
            <w:rStyle w:val="Hyperlink"/>
          </w:rPr>
          <w:t>Date limite de soumission des notes succinctes de présentation</w:t>
        </w:r>
        <w:r w:rsidR="00FC7813">
          <w:rPr>
            <w:webHidden/>
          </w:rPr>
          <w:tab/>
        </w:r>
        <w:r w:rsidR="00FC7813">
          <w:rPr>
            <w:webHidden/>
          </w:rPr>
          <w:fldChar w:fldCharType="begin"/>
        </w:r>
        <w:r w:rsidR="00FC7813">
          <w:rPr>
            <w:webHidden/>
          </w:rPr>
          <w:instrText xml:space="preserve"> PAGEREF _Toc182404637 \h </w:instrText>
        </w:r>
        <w:r w:rsidR="00FC7813">
          <w:rPr>
            <w:webHidden/>
          </w:rPr>
        </w:r>
        <w:r w:rsidR="00FC7813">
          <w:rPr>
            <w:webHidden/>
          </w:rPr>
          <w:fldChar w:fldCharType="separate"/>
        </w:r>
        <w:r w:rsidR="00FC7813">
          <w:rPr>
            <w:webHidden/>
          </w:rPr>
          <w:t>23</w:t>
        </w:r>
        <w:r w:rsidR="00FC7813">
          <w:rPr>
            <w:webHidden/>
          </w:rPr>
          <w:fldChar w:fldCharType="end"/>
        </w:r>
      </w:hyperlink>
    </w:p>
    <w:p w14:paraId="5D86CDE1" w14:textId="77777777" w:rsidR="00FC7813" w:rsidRDefault="00D73631">
      <w:pPr>
        <w:pStyle w:val="TOC3"/>
        <w:rPr>
          <w:rFonts w:asciiTheme="minorHAnsi" w:eastAsiaTheme="minorEastAsia" w:hAnsiTheme="minorHAnsi" w:cstheme="minorBidi"/>
          <w:sz w:val="22"/>
          <w:szCs w:val="22"/>
          <w:lang w:val="en-GB" w:eastAsia="en-GB"/>
        </w:rPr>
      </w:pPr>
      <w:hyperlink w:anchor="_Toc182404638" w:history="1">
        <w:r w:rsidR="00FC7813" w:rsidRPr="00643424">
          <w:rPr>
            <w:rStyle w:val="Hyperlink"/>
            <w:rFonts w:ascii="Times New Roman Bold" w:hAnsi="Times New Roman Bold"/>
          </w:rPr>
          <w:t>2.2.4.</w:t>
        </w:r>
        <w:r w:rsidR="00FC7813">
          <w:rPr>
            <w:rFonts w:asciiTheme="minorHAnsi" w:eastAsiaTheme="minorEastAsia" w:hAnsiTheme="minorHAnsi" w:cstheme="minorBidi"/>
            <w:sz w:val="22"/>
            <w:szCs w:val="22"/>
            <w:lang w:val="en-GB" w:eastAsia="en-GB"/>
          </w:rPr>
          <w:tab/>
        </w:r>
        <w:r w:rsidR="00FC7813" w:rsidRPr="00643424">
          <w:rPr>
            <w:rStyle w:val="Hyperlink"/>
          </w:rPr>
          <w:t>Autres informations concernant les notes succinctes de présentation</w:t>
        </w:r>
        <w:r w:rsidR="00FC7813">
          <w:rPr>
            <w:webHidden/>
          </w:rPr>
          <w:tab/>
        </w:r>
        <w:r w:rsidR="00FC7813">
          <w:rPr>
            <w:webHidden/>
          </w:rPr>
          <w:fldChar w:fldCharType="begin"/>
        </w:r>
        <w:r w:rsidR="00FC7813">
          <w:rPr>
            <w:webHidden/>
          </w:rPr>
          <w:instrText xml:space="preserve"> PAGEREF _Toc182404638 \h </w:instrText>
        </w:r>
        <w:r w:rsidR="00FC7813">
          <w:rPr>
            <w:webHidden/>
          </w:rPr>
        </w:r>
        <w:r w:rsidR="00FC7813">
          <w:rPr>
            <w:webHidden/>
          </w:rPr>
          <w:fldChar w:fldCharType="separate"/>
        </w:r>
        <w:r w:rsidR="00FC7813">
          <w:rPr>
            <w:webHidden/>
          </w:rPr>
          <w:t>23</w:t>
        </w:r>
        <w:r w:rsidR="00FC7813">
          <w:rPr>
            <w:webHidden/>
          </w:rPr>
          <w:fldChar w:fldCharType="end"/>
        </w:r>
      </w:hyperlink>
    </w:p>
    <w:p w14:paraId="17951CDD" w14:textId="77777777" w:rsidR="00FC7813" w:rsidRDefault="00D73631">
      <w:pPr>
        <w:pStyle w:val="TOC3"/>
        <w:rPr>
          <w:rFonts w:asciiTheme="minorHAnsi" w:eastAsiaTheme="minorEastAsia" w:hAnsiTheme="minorHAnsi" w:cstheme="minorBidi"/>
          <w:sz w:val="22"/>
          <w:szCs w:val="22"/>
          <w:lang w:val="en-GB" w:eastAsia="en-GB"/>
        </w:rPr>
      </w:pPr>
      <w:hyperlink w:anchor="_Toc182404639" w:history="1">
        <w:r w:rsidR="00FC7813" w:rsidRPr="00643424">
          <w:rPr>
            <w:rStyle w:val="Hyperlink"/>
            <w:rFonts w:ascii="Times New Roman Bold" w:hAnsi="Times New Roman Bold"/>
          </w:rPr>
          <w:t>2.2.5.</w:t>
        </w:r>
        <w:r w:rsidR="00FC7813">
          <w:rPr>
            <w:rFonts w:asciiTheme="minorHAnsi" w:eastAsiaTheme="minorEastAsia" w:hAnsiTheme="minorHAnsi" w:cstheme="minorBidi"/>
            <w:sz w:val="22"/>
            <w:szCs w:val="22"/>
            <w:lang w:val="en-GB" w:eastAsia="en-GB"/>
          </w:rPr>
          <w:tab/>
        </w:r>
        <w:r w:rsidR="00FC7813" w:rsidRPr="00643424">
          <w:rPr>
            <w:rStyle w:val="Hyperlink"/>
          </w:rPr>
          <w:t>Demandes complètes</w:t>
        </w:r>
        <w:r w:rsidR="00FC7813">
          <w:rPr>
            <w:webHidden/>
          </w:rPr>
          <w:tab/>
        </w:r>
        <w:r w:rsidR="00FC7813">
          <w:rPr>
            <w:webHidden/>
          </w:rPr>
          <w:fldChar w:fldCharType="begin"/>
        </w:r>
        <w:r w:rsidR="00FC7813">
          <w:rPr>
            <w:webHidden/>
          </w:rPr>
          <w:instrText xml:space="preserve"> PAGEREF _Toc182404639 \h </w:instrText>
        </w:r>
        <w:r w:rsidR="00FC7813">
          <w:rPr>
            <w:webHidden/>
          </w:rPr>
        </w:r>
        <w:r w:rsidR="00FC7813">
          <w:rPr>
            <w:webHidden/>
          </w:rPr>
          <w:fldChar w:fldCharType="separate"/>
        </w:r>
        <w:r w:rsidR="00FC7813">
          <w:rPr>
            <w:webHidden/>
          </w:rPr>
          <w:t>24</w:t>
        </w:r>
        <w:r w:rsidR="00FC7813">
          <w:rPr>
            <w:webHidden/>
          </w:rPr>
          <w:fldChar w:fldCharType="end"/>
        </w:r>
      </w:hyperlink>
    </w:p>
    <w:p w14:paraId="4E8101E2" w14:textId="77777777" w:rsidR="00FC7813" w:rsidRDefault="00D73631">
      <w:pPr>
        <w:pStyle w:val="TOC3"/>
        <w:rPr>
          <w:rFonts w:asciiTheme="minorHAnsi" w:eastAsiaTheme="minorEastAsia" w:hAnsiTheme="minorHAnsi" w:cstheme="minorBidi"/>
          <w:sz w:val="22"/>
          <w:szCs w:val="22"/>
          <w:lang w:val="en-GB" w:eastAsia="en-GB"/>
        </w:rPr>
      </w:pPr>
      <w:hyperlink w:anchor="_Toc182404640" w:history="1">
        <w:r w:rsidR="00FC7813" w:rsidRPr="00643424">
          <w:rPr>
            <w:rStyle w:val="Hyperlink"/>
            <w:rFonts w:ascii="Times New Roman Bold" w:hAnsi="Times New Roman Bold"/>
          </w:rPr>
          <w:t>2.2.6.</w:t>
        </w:r>
        <w:r w:rsidR="00FC7813">
          <w:rPr>
            <w:rFonts w:asciiTheme="minorHAnsi" w:eastAsiaTheme="minorEastAsia" w:hAnsiTheme="minorHAnsi" w:cstheme="minorBidi"/>
            <w:sz w:val="22"/>
            <w:szCs w:val="22"/>
            <w:lang w:val="en-GB" w:eastAsia="en-GB"/>
          </w:rPr>
          <w:tab/>
        </w:r>
        <w:r w:rsidR="00FC7813" w:rsidRPr="00643424">
          <w:rPr>
            <w:rStyle w:val="Hyperlink"/>
          </w:rPr>
          <w:t>Où et comment envoyer les demandes complètes?</w:t>
        </w:r>
        <w:r w:rsidR="00FC7813">
          <w:rPr>
            <w:webHidden/>
          </w:rPr>
          <w:tab/>
        </w:r>
        <w:r w:rsidR="00FC7813">
          <w:rPr>
            <w:webHidden/>
          </w:rPr>
          <w:fldChar w:fldCharType="begin"/>
        </w:r>
        <w:r w:rsidR="00FC7813">
          <w:rPr>
            <w:webHidden/>
          </w:rPr>
          <w:instrText xml:space="preserve"> PAGEREF _Toc182404640 \h </w:instrText>
        </w:r>
        <w:r w:rsidR="00FC7813">
          <w:rPr>
            <w:webHidden/>
          </w:rPr>
        </w:r>
        <w:r w:rsidR="00FC7813">
          <w:rPr>
            <w:webHidden/>
          </w:rPr>
          <w:fldChar w:fldCharType="separate"/>
        </w:r>
        <w:r w:rsidR="00FC7813">
          <w:rPr>
            <w:webHidden/>
          </w:rPr>
          <w:t>27</w:t>
        </w:r>
        <w:r w:rsidR="00FC7813">
          <w:rPr>
            <w:webHidden/>
          </w:rPr>
          <w:fldChar w:fldCharType="end"/>
        </w:r>
      </w:hyperlink>
    </w:p>
    <w:p w14:paraId="46320C66" w14:textId="77777777" w:rsidR="00FC7813" w:rsidRDefault="00D73631">
      <w:pPr>
        <w:pStyle w:val="TOC3"/>
        <w:rPr>
          <w:rFonts w:asciiTheme="minorHAnsi" w:eastAsiaTheme="minorEastAsia" w:hAnsiTheme="minorHAnsi" w:cstheme="minorBidi"/>
          <w:sz w:val="22"/>
          <w:szCs w:val="22"/>
          <w:lang w:val="en-GB" w:eastAsia="en-GB"/>
        </w:rPr>
      </w:pPr>
      <w:hyperlink w:anchor="_Toc182404641" w:history="1">
        <w:r w:rsidR="00FC7813" w:rsidRPr="00643424">
          <w:rPr>
            <w:rStyle w:val="Hyperlink"/>
            <w:rFonts w:ascii="Times New Roman Bold" w:hAnsi="Times New Roman Bold"/>
          </w:rPr>
          <w:t>2.2.7.</w:t>
        </w:r>
        <w:r w:rsidR="00FC7813">
          <w:rPr>
            <w:rFonts w:asciiTheme="minorHAnsi" w:eastAsiaTheme="minorEastAsia" w:hAnsiTheme="minorHAnsi" w:cstheme="minorBidi"/>
            <w:sz w:val="22"/>
            <w:szCs w:val="22"/>
            <w:lang w:val="en-GB" w:eastAsia="en-GB"/>
          </w:rPr>
          <w:tab/>
        </w:r>
        <w:r w:rsidR="00FC7813" w:rsidRPr="00643424">
          <w:rPr>
            <w:rStyle w:val="Hyperlink"/>
          </w:rPr>
          <w:t>Date limite de soumission des demandes complètes</w:t>
        </w:r>
        <w:r w:rsidR="00FC7813">
          <w:rPr>
            <w:webHidden/>
          </w:rPr>
          <w:tab/>
        </w:r>
        <w:r w:rsidR="00FC7813">
          <w:rPr>
            <w:webHidden/>
          </w:rPr>
          <w:fldChar w:fldCharType="begin"/>
        </w:r>
        <w:r w:rsidR="00FC7813">
          <w:rPr>
            <w:webHidden/>
          </w:rPr>
          <w:instrText xml:space="preserve"> PAGEREF _Toc182404641 \h </w:instrText>
        </w:r>
        <w:r w:rsidR="00FC7813">
          <w:rPr>
            <w:webHidden/>
          </w:rPr>
        </w:r>
        <w:r w:rsidR="00FC7813">
          <w:rPr>
            <w:webHidden/>
          </w:rPr>
          <w:fldChar w:fldCharType="separate"/>
        </w:r>
        <w:r w:rsidR="00FC7813">
          <w:rPr>
            <w:webHidden/>
          </w:rPr>
          <w:t>27</w:t>
        </w:r>
        <w:r w:rsidR="00FC7813">
          <w:rPr>
            <w:webHidden/>
          </w:rPr>
          <w:fldChar w:fldCharType="end"/>
        </w:r>
      </w:hyperlink>
    </w:p>
    <w:p w14:paraId="091281F8" w14:textId="77777777" w:rsidR="00FC7813" w:rsidRDefault="00D73631">
      <w:pPr>
        <w:pStyle w:val="TOC3"/>
        <w:rPr>
          <w:rFonts w:asciiTheme="minorHAnsi" w:eastAsiaTheme="minorEastAsia" w:hAnsiTheme="minorHAnsi" w:cstheme="minorBidi"/>
          <w:sz w:val="22"/>
          <w:szCs w:val="22"/>
          <w:lang w:val="en-GB" w:eastAsia="en-GB"/>
        </w:rPr>
      </w:pPr>
      <w:hyperlink w:anchor="_Toc182404642" w:history="1">
        <w:r w:rsidR="00FC7813" w:rsidRPr="00643424">
          <w:rPr>
            <w:rStyle w:val="Hyperlink"/>
            <w:rFonts w:ascii="Times New Roman Bold" w:hAnsi="Times New Roman Bold"/>
          </w:rPr>
          <w:t>2.2.8.</w:t>
        </w:r>
        <w:r w:rsidR="00FC7813">
          <w:rPr>
            <w:rFonts w:asciiTheme="minorHAnsi" w:eastAsiaTheme="minorEastAsia" w:hAnsiTheme="minorHAnsi" w:cstheme="minorBidi"/>
            <w:sz w:val="22"/>
            <w:szCs w:val="22"/>
            <w:lang w:val="en-GB" w:eastAsia="en-GB"/>
          </w:rPr>
          <w:tab/>
        </w:r>
        <w:r w:rsidR="00FC7813" w:rsidRPr="00643424">
          <w:rPr>
            <w:rStyle w:val="Hyperlink"/>
          </w:rPr>
          <w:t xml:space="preserve">Autres informations </w:t>
        </w:r>
        <w:r w:rsidR="00FC7813" w:rsidRPr="005E06CB">
          <w:rPr>
            <w:rStyle w:val="Hyperlink"/>
            <w:sz w:val="22"/>
            <w:szCs w:val="22"/>
          </w:rPr>
          <w:t>concernant</w:t>
        </w:r>
        <w:r w:rsidR="00FC7813" w:rsidRPr="00643424">
          <w:rPr>
            <w:rStyle w:val="Hyperlink"/>
          </w:rPr>
          <w:t xml:space="preserve"> les demandes complètes</w:t>
        </w:r>
        <w:r w:rsidR="00FC7813">
          <w:rPr>
            <w:webHidden/>
          </w:rPr>
          <w:tab/>
        </w:r>
        <w:r w:rsidR="00FC7813">
          <w:rPr>
            <w:webHidden/>
          </w:rPr>
          <w:fldChar w:fldCharType="begin"/>
        </w:r>
        <w:r w:rsidR="00FC7813">
          <w:rPr>
            <w:webHidden/>
          </w:rPr>
          <w:instrText xml:space="preserve"> PAGEREF _Toc182404642 \h </w:instrText>
        </w:r>
        <w:r w:rsidR="00FC7813">
          <w:rPr>
            <w:webHidden/>
          </w:rPr>
        </w:r>
        <w:r w:rsidR="00FC7813">
          <w:rPr>
            <w:webHidden/>
          </w:rPr>
          <w:fldChar w:fldCharType="separate"/>
        </w:r>
        <w:r w:rsidR="00FC7813">
          <w:rPr>
            <w:webHidden/>
          </w:rPr>
          <w:t>27</w:t>
        </w:r>
        <w:r w:rsidR="00FC7813">
          <w:rPr>
            <w:webHidden/>
          </w:rPr>
          <w:fldChar w:fldCharType="end"/>
        </w:r>
      </w:hyperlink>
    </w:p>
    <w:p w14:paraId="2610C390" w14:textId="77777777" w:rsidR="00FC7813" w:rsidRDefault="00D73631">
      <w:pPr>
        <w:pStyle w:val="TOC2"/>
        <w:rPr>
          <w:rFonts w:asciiTheme="minorHAnsi" w:eastAsiaTheme="minorEastAsia" w:hAnsiTheme="minorHAnsi" w:cstheme="minorBidi"/>
          <w:noProof/>
          <w:szCs w:val="22"/>
          <w:lang w:val="en-GB" w:eastAsia="en-GB"/>
        </w:rPr>
      </w:pPr>
      <w:hyperlink w:anchor="_Toc182404643" w:history="1">
        <w:r w:rsidR="00FC7813" w:rsidRPr="00643424">
          <w:rPr>
            <w:rStyle w:val="Hyperlink"/>
            <w:noProof/>
          </w:rPr>
          <w:t>2.3.</w:t>
        </w:r>
        <w:r w:rsidR="00FC7813">
          <w:rPr>
            <w:rFonts w:asciiTheme="minorHAnsi" w:eastAsiaTheme="minorEastAsia" w:hAnsiTheme="minorHAnsi" w:cstheme="minorBidi"/>
            <w:noProof/>
            <w:szCs w:val="22"/>
            <w:lang w:val="en-GB" w:eastAsia="en-GB"/>
          </w:rPr>
          <w:tab/>
        </w:r>
        <w:r w:rsidR="00FC7813" w:rsidRPr="00643424">
          <w:rPr>
            <w:rStyle w:val="Hyperlink"/>
            <w:noProof/>
          </w:rPr>
          <w:t>Évaluation et sélection des demandes</w:t>
        </w:r>
        <w:r w:rsidR="00FC7813">
          <w:rPr>
            <w:noProof/>
            <w:webHidden/>
          </w:rPr>
          <w:tab/>
        </w:r>
        <w:r w:rsidR="00FC7813">
          <w:rPr>
            <w:noProof/>
            <w:webHidden/>
          </w:rPr>
          <w:fldChar w:fldCharType="begin"/>
        </w:r>
        <w:r w:rsidR="00FC7813">
          <w:rPr>
            <w:noProof/>
            <w:webHidden/>
          </w:rPr>
          <w:instrText xml:space="preserve"> PAGEREF _Toc182404643 \h </w:instrText>
        </w:r>
        <w:r w:rsidR="00FC7813">
          <w:rPr>
            <w:noProof/>
            <w:webHidden/>
          </w:rPr>
        </w:r>
        <w:r w:rsidR="00FC7813">
          <w:rPr>
            <w:noProof/>
            <w:webHidden/>
          </w:rPr>
          <w:fldChar w:fldCharType="separate"/>
        </w:r>
        <w:r w:rsidR="00FC7813">
          <w:rPr>
            <w:noProof/>
            <w:webHidden/>
          </w:rPr>
          <w:t>28</w:t>
        </w:r>
        <w:r w:rsidR="00FC7813">
          <w:rPr>
            <w:noProof/>
            <w:webHidden/>
          </w:rPr>
          <w:fldChar w:fldCharType="end"/>
        </w:r>
      </w:hyperlink>
    </w:p>
    <w:p w14:paraId="6C2B3530" w14:textId="77777777" w:rsidR="00FC7813" w:rsidRDefault="00D73631">
      <w:pPr>
        <w:pStyle w:val="TOC2"/>
        <w:rPr>
          <w:rFonts w:asciiTheme="minorHAnsi" w:eastAsiaTheme="minorEastAsia" w:hAnsiTheme="minorHAnsi" w:cstheme="minorBidi"/>
          <w:noProof/>
          <w:szCs w:val="22"/>
          <w:lang w:val="en-GB" w:eastAsia="en-GB"/>
        </w:rPr>
      </w:pPr>
      <w:hyperlink w:anchor="_Toc182404644" w:history="1">
        <w:r w:rsidR="00FC7813" w:rsidRPr="00643424">
          <w:rPr>
            <w:rStyle w:val="Hyperlink"/>
            <w:noProof/>
          </w:rPr>
          <w:t>2.4.</w:t>
        </w:r>
        <w:r w:rsidR="00FC7813">
          <w:rPr>
            <w:rFonts w:asciiTheme="minorHAnsi" w:eastAsiaTheme="minorEastAsia" w:hAnsiTheme="minorHAnsi" w:cstheme="minorBidi"/>
            <w:noProof/>
            <w:szCs w:val="22"/>
            <w:lang w:val="en-GB" w:eastAsia="en-GB"/>
          </w:rPr>
          <w:tab/>
        </w:r>
        <w:r w:rsidR="00FC7813" w:rsidRPr="00643424">
          <w:rPr>
            <w:rStyle w:val="Hyperlink"/>
            <w:noProof/>
          </w:rPr>
          <w:t>Soumission des pièces justificatives</w:t>
        </w:r>
        <w:r w:rsidR="00FC7813">
          <w:rPr>
            <w:noProof/>
            <w:webHidden/>
          </w:rPr>
          <w:tab/>
        </w:r>
        <w:r w:rsidR="00FC7813">
          <w:rPr>
            <w:noProof/>
            <w:webHidden/>
          </w:rPr>
          <w:fldChar w:fldCharType="begin"/>
        </w:r>
        <w:r w:rsidR="00FC7813">
          <w:rPr>
            <w:noProof/>
            <w:webHidden/>
          </w:rPr>
          <w:instrText xml:space="preserve"> PAGEREF _Toc182404644 \h </w:instrText>
        </w:r>
        <w:r w:rsidR="00FC7813">
          <w:rPr>
            <w:noProof/>
            <w:webHidden/>
          </w:rPr>
        </w:r>
        <w:r w:rsidR="00FC7813">
          <w:rPr>
            <w:noProof/>
            <w:webHidden/>
          </w:rPr>
          <w:fldChar w:fldCharType="separate"/>
        </w:r>
        <w:r w:rsidR="00FC7813">
          <w:rPr>
            <w:noProof/>
            <w:webHidden/>
          </w:rPr>
          <w:t>35</w:t>
        </w:r>
        <w:r w:rsidR="00FC7813">
          <w:rPr>
            <w:noProof/>
            <w:webHidden/>
          </w:rPr>
          <w:fldChar w:fldCharType="end"/>
        </w:r>
      </w:hyperlink>
    </w:p>
    <w:p w14:paraId="50A47663" w14:textId="77777777" w:rsidR="00FC7813" w:rsidRDefault="00D73631">
      <w:pPr>
        <w:pStyle w:val="TOC2"/>
        <w:rPr>
          <w:rFonts w:asciiTheme="minorHAnsi" w:eastAsiaTheme="minorEastAsia" w:hAnsiTheme="minorHAnsi" w:cstheme="minorBidi"/>
          <w:noProof/>
          <w:szCs w:val="22"/>
          <w:lang w:val="en-GB" w:eastAsia="en-GB"/>
        </w:rPr>
      </w:pPr>
      <w:hyperlink w:anchor="_Toc182404645" w:history="1">
        <w:r w:rsidR="00FC7813" w:rsidRPr="00643424">
          <w:rPr>
            <w:rStyle w:val="Hyperlink"/>
            <w:noProof/>
          </w:rPr>
          <w:t>2.5.</w:t>
        </w:r>
        <w:r w:rsidR="00FC7813">
          <w:rPr>
            <w:rFonts w:asciiTheme="minorHAnsi" w:eastAsiaTheme="minorEastAsia" w:hAnsiTheme="minorHAnsi" w:cstheme="minorBidi"/>
            <w:noProof/>
            <w:szCs w:val="22"/>
            <w:lang w:val="en-GB" w:eastAsia="en-GB"/>
          </w:rPr>
          <w:tab/>
        </w:r>
        <w:r w:rsidR="00FC7813" w:rsidRPr="00643424">
          <w:rPr>
            <w:rStyle w:val="Hyperlink"/>
            <w:noProof/>
          </w:rPr>
          <w:t>Notification de la décision de l’administration contractante</w:t>
        </w:r>
        <w:r w:rsidR="00FC7813">
          <w:rPr>
            <w:noProof/>
            <w:webHidden/>
          </w:rPr>
          <w:tab/>
        </w:r>
        <w:r w:rsidR="00FC7813">
          <w:rPr>
            <w:noProof/>
            <w:webHidden/>
          </w:rPr>
          <w:fldChar w:fldCharType="begin"/>
        </w:r>
        <w:r w:rsidR="00FC7813">
          <w:rPr>
            <w:noProof/>
            <w:webHidden/>
          </w:rPr>
          <w:instrText xml:space="preserve"> PAGEREF _Toc182404645 \h </w:instrText>
        </w:r>
        <w:r w:rsidR="00FC7813">
          <w:rPr>
            <w:noProof/>
            <w:webHidden/>
          </w:rPr>
        </w:r>
        <w:r w:rsidR="00FC7813">
          <w:rPr>
            <w:noProof/>
            <w:webHidden/>
          </w:rPr>
          <w:fldChar w:fldCharType="separate"/>
        </w:r>
        <w:r w:rsidR="00FC7813">
          <w:rPr>
            <w:noProof/>
            <w:webHidden/>
          </w:rPr>
          <w:t>35</w:t>
        </w:r>
        <w:r w:rsidR="00FC7813">
          <w:rPr>
            <w:noProof/>
            <w:webHidden/>
          </w:rPr>
          <w:fldChar w:fldCharType="end"/>
        </w:r>
      </w:hyperlink>
    </w:p>
    <w:p w14:paraId="505E88DC" w14:textId="77777777" w:rsidR="00FC7813" w:rsidRDefault="00D73631">
      <w:pPr>
        <w:pStyle w:val="TOC3"/>
        <w:rPr>
          <w:rFonts w:asciiTheme="minorHAnsi" w:eastAsiaTheme="minorEastAsia" w:hAnsiTheme="minorHAnsi" w:cstheme="minorBidi"/>
          <w:sz w:val="22"/>
          <w:szCs w:val="22"/>
          <w:lang w:val="en-GB" w:eastAsia="en-GB"/>
        </w:rPr>
      </w:pPr>
      <w:hyperlink w:anchor="_Toc182404646" w:history="1">
        <w:r w:rsidR="00FC7813" w:rsidRPr="00643424">
          <w:rPr>
            <w:rStyle w:val="Hyperlink"/>
            <w:rFonts w:ascii="Times New Roman Bold" w:hAnsi="Times New Roman Bold"/>
          </w:rPr>
          <w:t>2.5.1.</w:t>
        </w:r>
        <w:r w:rsidR="00FC7813">
          <w:rPr>
            <w:rFonts w:asciiTheme="minorHAnsi" w:eastAsiaTheme="minorEastAsia" w:hAnsiTheme="minorHAnsi" w:cstheme="minorBidi"/>
            <w:sz w:val="22"/>
            <w:szCs w:val="22"/>
            <w:lang w:val="en-GB" w:eastAsia="en-GB"/>
          </w:rPr>
          <w:tab/>
        </w:r>
        <w:r w:rsidR="00FC7813" w:rsidRPr="00643424">
          <w:rPr>
            <w:rStyle w:val="Hyperlink"/>
          </w:rPr>
          <w:t>Contenu de la décision</w:t>
        </w:r>
        <w:r w:rsidR="00FC7813">
          <w:rPr>
            <w:webHidden/>
          </w:rPr>
          <w:tab/>
        </w:r>
        <w:r w:rsidR="00FC7813">
          <w:rPr>
            <w:webHidden/>
          </w:rPr>
          <w:fldChar w:fldCharType="begin"/>
        </w:r>
        <w:r w:rsidR="00FC7813">
          <w:rPr>
            <w:webHidden/>
          </w:rPr>
          <w:instrText xml:space="preserve"> PAGEREF _Toc182404646 \h </w:instrText>
        </w:r>
        <w:r w:rsidR="00FC7813">
          <w:rPr>
            <w:webHidden/>
          </w:rPr>
        </w:r>
        <w:r w:rsidR="00FC7813">
          <w:rPr>
            <w:webHidden/>
          </w:rPr>
          <w:fldChar w:fldCharType="separate"/>
        </w:r>
        <w:r w:rsidR="00FC7813">
          <w:rPr>
            <w:webHidden/>
          </w:rPr>
          <w:t>35</w:t>
        </w:r>
        <w:r w:rsidR="00FC7813">
          <w:rPr>
            <w:webHidden/>
          </w:rPr>
          <w:fldChar w:fldCharType="end"/>
        </w:r>
      </w:hyperlink>
    </w:p>
    <w:p w14:paraId="55B5320B" w14:textId="77777777" w:rsidR="00FC7813" w:rsidRDefault="00D73631">
      <w:pPr>
        <w:pStyle w:val="TOC3"/>
        <w:rPr>
          <w:rFonts w:asciiTheme="minorHAnsi" w:eastAsiaTheme="minorEastAsia" w:hAnsiTheme="minorHAnsi" w:cstheme="minorBidi"/>
          <w:sz w:val="22"/>
          <w:szCs w:val="22"/>
          <w:lang w:val="en-GB" w:eastAsia="en-GB"/>
        </w:rPr>
      </w:pPr>
      <w:hyperlink w:anchor="_Toc182404647" w:history="1">
        <w:r w:rsidR="00FC7813" w:rsidRPr="00643424">
          <w:rPr>
            <w:rStyle w:val="Hyperlink"/>
            <w:rFonts w:ascii="Times New Roman Bold" w:hAnsi="Times New Roman Bold"/>
          </w:rPr>
          <w:t>2.5.2.</w:t>
        </w:r>
        <w:r w:rsidR="00FC7813">
          <w:rPr>
            <w:rFonts w:asciiTheme="minorHAnsi" w:eastAsiaTheme="minorEastAsia" w:hAnsiTheme="minorHAnsi" w:cstheme="minorBidi"/>
            <w:sz w:val="22"/>
            <w:szCs w:val="22"/>
            <w:lang w:val="en-GB" w:eastAsia="en-GB"/>
          </w:rPr>
          <w:tab/>
        </w:r>
        <w:r w:rsidR="00FC7813" w:rsidRPr="00643424">
          <w:rPr>
            <w:rStyle w:val="Hyperlink"/>
          </w:rPr>
          <w:t>Calendrier indicatif</w:t>
        </w:r>
        <w:r w:rsidR="00FC7813">
          <w:rPr>
            <w:webHidden/>
          </w:rPr>
          <w:tab/>
        </w:r>
        <w:r w:rsidR="00FC7813">
          <w:rPr>
            <w:webHidden/>
          </w:rPr>
          <w:fldChar w:fldCharType="begin"/>
        </w:r>
        <w:r w:rsidR="00FC7813">
          <w:rPr>
            <w:webHidden/>
          </w:rPr>
          <w:instrText xml:space="preserve"> PAGEREF _Toc182404647 \h </w:instrText>
        </w:r>
        <w:r w:rsidR="00FC7813">
          <w:rPr>
            <w:webHidden/>
          </w:rPr>
        </w:r>
        <w:r w:rsidR="00FC7813">
          <w:rPr>
            <w:webHidden/>
          </w:rPr>
          <w:fldChar w:fldCharType="separate"/>
        </w:r>
        <w:r w:rsidR="00FC7813">
          <w:rPr>
            <w:webHidden/>
          </w:rPr>
          <w:t>36</w:t>
        </w:r>
        <w:r w:rsidR="00FC7813">
          <w:rPr>
            <w:webHidden/>
          </w:rPr>
          <w:fldChar w:fldCharType="end"/>
        </w:r>
      </w:hyperlink>
    </w:p>
    <w:p w14:paraId="234DACD6" w14:textId="77777777" w:rsidR="00FC7813" w:rsidRDefault="00D73631">
      <w:pPr>
        <w:pStyle w:val="TOC2"/>
        <w:rPr>
          <w:rFonts w:asciiTheme="minorHAnsi" w:eastAsiaTheme="minorEastAsia" w:hAnsiTheme="minorHAnsi" w:cstheme="minorBidi"/>
          <w:noProof/>
          <w:szCs w:val="22"/>
          <w:lang w:val="en-GB" w:eastAsia="en-GB"/>
        </w:rPr>
      </w:pPr>
      <w:hyperlink w:anchor="_Toc182404648" w:history="1">
        <w:r w:rsidR="00FC7813" w:rsidRPr="00643424">
          <w:rPr>
            <w:rStyle w:val="Hyperlink"/>
            <w:noProof/>
          </w:rPr>
          <w:t>2.6.</w:t>
        </w:r>
        <w:r w:rsidR="00FC7813">
          <w:rPr>
            <w:rFonts w:asciiTheme="minorHAnsi" w:eastAsiaTheme="minorEastAsia" w:hAnsiTheme="minorHAnsi" w:cstheme="minorBidi"/>
            <w:noProof/>
            <w:szCs w:val="22"/>
            <w:lang w:val="en-GB" w:eastAsia="en-GB"/>
          </w:rPr>
          <w:tab/>
        </w:r>
        <w:r w:rsidR="00FC7813" w:rsidRPr="00643424">
          <w:rPr>
            <w:rStyle w:val="Hyperlink"/>
            <w:noProof/>
          </w:rPr>
          <w:t>Conditions de la mise en œuvre après la décision de l’administration contractante d’attribuer une subvention</w:t>
        </w:r>
        <w:r w:rsidR="00FC7813">
          <w:rPr>
            <w:noProof/>
            <w:webHidden/>
          </w:rPr>
          <w:tab/>
        </w:r>
        <w:r w:rsidR="00FC7813">
          <w:rPr>
            <w:noProof/>
            <w:webHidden/>
          </w:rPr>
          <w:fldChar w:fldCharType="begin"/>
        </w:r>
        <w:r w:rsidR="00FC7813">
          <w:rPr>
            <w:noProof/>
            <w:webHidden/>
          </w:rPr>
          <w:instrText xml:space="preserve"> PAGEREF _Toc182404648 \h </w:instrText>
        </w:r>
        <w:r w:rsidR="00FC7813">
          <w:rPr>
            <w:noProof/>
            <w:webHidden/>
          </w:rPr>
        </w:r>
        <w:r w:rsidR="00FC7813">
          <w:rPr>
            <w:noProof/>
            <w:webHidden/>
          </w:rPr>
          <w:fldChar w:fldCharType="separate"/>
        </w:r>
        <w:r w:rsidR="00FC7813">
          <w:rPr>
            <w:noProof/>
            <w:webHidden/>
          </w:rPr>
          <w:t>37</w:t>
        </w:r>
        <w:r w:rsidR="00FC7813">
          <w:rPr>
            <w:noProof/>
            <w:webHidden/>
          </w:rPr>
          <w:fldChar w:fldCharType="end"/>
        </w:r>
      </w:hyperlink>
    </w:p>
    <w:p w14:paraId="1305599A" w14:textId="77777777" w:rsidR="00EE7732" w:rsidRDefault="00EE7732" w:rsidP="00E76DF7">
      <w:pPr>
        <w:pStyle w:val="TOC1"/>
      </w:pPr>
    </w:p>
    <w:p w14:paraId="75EC433D" w14:textId="08F751AF" w:rsidR="00FC7813" w:rsidRDefault="00D73631" w:rsidP="00E76DF7">
      <w:pPr>
        <w:pStyle w:val="TOC1"/>
        <w:rPr>
          <w:rStyle w:val="Hyperlink"/>
          <w:noProof/>
        </w:rPr>
      </w:pPr>
      <w:hyperlink w:anchor="_Toc182404649" w:history="1">
        <w:r w:rsidR="00FC7813" w:rsidRPr="00643424">
          <w:rPr>
            <w:rStyle w:val="Hyperlink"/>
            <w:noProof/>
          </w:rPr>
          <w:t>3.</w:t>
        </w:r>
        <w:r w:rsidR="00FC7813">
          <w:rPr>
            <w:rFonts w:asciiTheme="minorHAnsi" w:eastAsiaTheme="minorEastAsia" w:hAnsiTheme="minorHAnsi" w:cstheme="minorBidi"/>
            <w:noProof/>
            <w:szCs w:val="22"/>
            <w:lang w:val="en-GB" w:eastAsia="en-GB"/>
          </w:rPr>
          <w:tab/>
        </w:r>
        <w:r w:rsidR="00FC7813" w:rsidRPr="00643424">
          <w:rPr>
            <w:rStyle w:val="Hyperlink"/>
            <w:noProof/>
          </w:rPr>
          <w:t>LISTE DES annexes</w:t>
        </w:r>
        <w:r w:rsidR="00FC7813">
          <w:rPr>
            <w:noProof/>
            <w:webHidden/>
          </w:rPr>
          <w:tab/>
        </w:r>
        <w:r w:rsidR="00FC7813">
          <w:rPr>
            <w:noProof/>
            <w:webHidden/>
          </w:rPr>
          <w:fldChar w:fldCharType="begin"/>
        </w:r>
        <w:r w:rsidR="00FC7813">
          <w:rPr>
            <w:noProof/>
            <w:webHidden/>
          </w:rPr>
          <w:instrText xml:space="preserve"> PAGEREF _Toc182404649 \h </w:instrText>
        </w:r>
        <w:r w:rsidR="00FC7813">
          <w:rPr>
            <w:noProof/>
            <w:webHidden/>
          </w:rPr>
        </w:r>
        <w:r w:rsidR="00FC7813">
          <w:rPr>
            <w:noProof/>
            <w:webHidden/>
          </w:rPr>
          <w:fldChar w:fldCharType="separate"/>
        </w:r>
        <w:r w:rsidR="00FC7813">
          <w:rPr>
            <w:noProof/>
            <w:webHidden/>
          </w:rPr>
          <w:t>38</w:t>
        </w:r>
        <w:r w:rsidR="00FC7813">
          <w:rPr>
            <w:noProof/>
            <w:webHidden/>
          </w:rPr>
          <w:fldChar w:fldCharType="end"/>
        </w:r>
      </w:hyperlink>
    </w:p>
    <w:p w14:paraId="03DC6F87" w14:textId="77777777" w:rsidR="00FC7813" w:rsidRDefault="00FC7813" w:rsidP="00FC7813">
      <w:pPr>
        <w:rPr>
          <w:rFonts w:eastAsiaTheme="minorEastAsia"/>
          <w:noProof/>
        </w:rPr>
      </w:pPr>
      <w:r>
        <w:rPr>
          <w:rFonts w:eastAsiaTheme="minorEastAsia"/>
          <w:noProof/>
        </w:rPr>
        <w:br w:type="page"/>
      </w:r>
    </w:p>
    <w:p w14:paraId="3AAF44F7" w14:textId="77777777" w:rsidR="00FC7813" w:rsidRPr="00E76DF7" w:rsidRDefault="00FC7813" w:rsidP="00E76DF7">
      <w:pPr>
        <w:rPr>
          <w:rFonts w:eastAsiaTheme="minorEastAsia"/>
          <w:b/>
          <w:caps/>
          <w:noProof/>
        </w:rPr>
      </w:pPr>
    </w:p>
    <w:p w14:paraId="70F59709" w14:textId="77777777" w:rsidR="00855943" w:rsidRPr="005B64DF" w:rsidRDefault="00E51930" w:rsidP="00E76DF7">
      <w:pPr>
        <w:pStyle w:val="Guidelines1"/>
      </w:pPr>
      <w:r w:rsidRPr="005B64DF">
        <w:fldChar w:fldCharType="end"/>
      </w:r>
      <w:bookmarkStart w:id="3" w:name="_Toc182404623"/>
      <w:r w:rsidR="00855943" w:rsidRPr="005B64DF">
        <w:t xml:space="preserve">SOUTIEN A L’ENGAGEMENT DE LA SOCIETE CIVILE </w:t>
      </w:r>
      <w:r w:rsidR="00B40DFF" w:rsidRPr="005B64DF">
        <w:t xml:space="preserve">POUR LA </w:t>
      </w:r>
      <w:r w:rsidR="00855943" w:rsidRPr="005B64DF">
        <w:t xml:space="preserve">JEUNESSE SENEGALAISE :  </w:t>
      </w:r>
      <w:r w:rsidR="0098030A" w:rsidRPr="005B64DF">
        <w:t>ENTREPRENEURIAT</w:t>
      </w:r>
      <w:r w:rsidR="00B40DFF" w:rsidRPr="005B64DF">
        <w:t xml:space="preserve"> DES JEUNES, </w:t>
      </w:r>
      <w:r w:rsidR="00855943" w:rsidRPr="005B64DF">
        <w:t>PARTICIPATION</w:t>
      </w:r>
      <w:r w:rsidR="00B40DFF" w:rsidRPr="005B64DF">
        <w:t xml:space="preserve"> PUBLIQUE ET CITOYENNE</w:t>
      </w:r>
      <w:bookmarkEnd w:id="3"/>
    </w:p>
    <w:p w14:paraId="18B03646" w14:textId="77777777" w:rsidR="0007408E" w:rsidRPr="005B64DF" w:rsidRDefault="0007408E" w:rsidP="00575041">
      <w:pPr>
        <w:pStyle w:val="Guidelines2"/>
        <w:numPr>
          <w:ilvl w:val="1"/>
          <w:numId w:val="17"/>
        </w:numPr>
        <w:rPr>
          <w:rFonts w:ascii="Times New Roman" w:hAnsi="Times New Roman"/>
          <w:sz w:val="22"/>
          <w:szCs w:val="22"/>
        </w:rPr>
      </w:pPr>
      <w:bookmarkStart w:id="4" w:name="_Toc74830944"/>
      <w:bookmarkStart w:id="5" w:name="_Toc179890124"/>
      <w:bookmarkStart w:id="6" w:name="_Toc182404624"/>
      <w:r w:rsidRPr="005B64DF">
        <w:rPr>
          <w:rFonts w:ascii="Times New Roman" w:hAnsi="Times New Roman"/>
          <w:sz w:val="22"/>
          <w:szCs w:val="22"/>
        </w:rPr>
        <w:t>Contexte</w:t>
      </w:r>
      <w:bookmarkEnd w:id="4"/>
      <w:bookmarkEnd w:id="5"/>
      <w:bookmarkEnd w:id="6"/>
    </w:p>
    <w:p w14:paraId="3B1ED49A" w14:textId="77777777" w:rsidR="000374B6" w:rsidRPr="005B64DF" w:rsidRDefault="000374B6" w:rsidP="00BD6FF1">
      <w:pPr>
        <w:rPr>
          <w:b/>
          <w:i/>
          <w:szCs w:val="22"/>
        </w:rPr>
      </w:pPr>
      <w:r w:rsidRPr="005B64DF">
        <w:rPr>
          <w:b/>
          <w:i/>
          <w:szCs w:val="22"/>
        </w:rPr>
        <w:t>Appui à la société civile</w:t>
      </w:r>
    </w:p>
    <w:p w14:paraId="28CEE220" w14:textId="77777777" w:rsidR="00855943" w:rsidRPr="005B64DF" w:rsidRDefault="00855943" w:rsidP="00855943">
      <w:pPr>
        <w:autoSpaceDE w:val="0"/>
        <w:autoSpaceDN w:val="0"/>
        <w:adjustRightInd w:val="0"/>
        <w:rPr>
          <w:szCs w:val="22"/>
          <w:lang w:val="fr-BE"/>
        </w:rPr>
      </w:pPr>
      <w:r w:rsidRPr="005B64DF">
        <w:rPr>
          <w:snapToGrid w:val="0"/>
          <w:szCs w:val="22"/>
          <w:lang w:val="fr-BE"/>
        </w:rPr>
        <w:t xml:space="preserve">Le programme thématique « Soutien à la société civile dans les pays partenaires » </w:t>
      </w:r>
      <w:r w:rsidRPr="005B64DF">
        <w:rPr>
          <w:szCs w:val="22"/>
          <w:lang w:val="fr-BE"/>
        </w:rPr>
        <w:t xml:space="preserve">valorise le travail des organisations de la société civile (OSC) contribuant au développement humain et à la prévention des conflits. </w:t>
      </w:r>
    </w:p>
    <w:p w14:paraId="23C5B8B9" w14:textId="77777777" w:rsidR="00855943" w:rsidRPr="005B64DF" w:rsidRDefault="00D023AF" w:rsidP="00D023AF">
      <w:pPr>
        <w:rPr>
          <w:szCs w:val="22"/>
          <w:lang w:val="fr-BE"/>
        </w:rPr>
      </w:pPr>
      <w:r w:rsidRPr="005B64DF">
        <w:rPr>
          <w:szCs w:val="22"/>
          <w:lang w:val="fr-BE"/>
        </w:rPr>
        <w:t xml:space="preserve">L’objectif général du programme identifié par le </w:t>
      </w:r>
      <w:r w:rsidR="00A8103B" w:rsidRPr="005B64DF">
        <w:rPr>
          <w:szCs w:val="22"/>
          <w:lang w:val="fr-BE"/>
        </w:rPr>
        <w:t>MultiAnuual Plan</w:t>
      </w:r>
      <w:r w:rsidR="005B64DF" w:rsidRPr="005B64DF">
        <w:rPr>
          <w:szCs w:val="22"/>
          <w:lang w:val="fr-BE"/>
        </w:rPr>
        <w:t xml:space="preserve"> 2021</w:t>
      </w:r>
      <w:r w:rsidRPr="005B64DF">
        <w:rPr>
          <w:szCs w:val="22"/>
          <w:lang w:val="fr-BE"/>
        </w:rPr>
        <w:t>-2024 est donc de soutenir les OSC en tant qu'acteurs de la bonne gouvernance et du développement dans les pays partenaires</w:t>
      </w:r>
      <w:r w:rsidR="005C3BF4" w:rsidRPr="005B64DF">
        <w:rPr>
          <w:szCs w:val="22"/>
          <w:lang w:val="fr-BE"/>
        </w:rPr>
        <w:t>.</w:t>
      </w:r>
      <w:r w:rsidRPr="005B64DF">
        <w:rPr>
          <w:szCs w:val="22"/>
          <w:lang w:val="fr-BE"/>
        </w:rPr>
        <w:t xml:space="preserve"> De façon spécifique, il s’agit : (i) d’améliorer la capacité et l'aptitude des partenaires de la société civile locale à maintenir et à promouvoir un environnement favorable dans les pays partenaires respectifs, (ii) de renforcer spécifiquement la capacité des OSC locales à s'engager dans l'égalité des sexes et l'inclusion des jeunes dans la mise en œuvre des politiques de développement. Un accent particulier est mis sur le changement climatique; l'égalité du genre; la jeunesse; les causes profondes de la migration irrégulière; et les crises et fragilités.</w:t>
      </w:r>
    </w:p>
    <w:p w14:paraId="734C558A" w14:textId="77777777" w:rsidR="00855943" w:rsidRPr="005B64DF" w:rsidRDefault="00855943" w:rsidP="00CF327C">
      <w:pPr>
        <w:autoSpaceDE w:val="0"/>
        <w:autoSpaceDN w:val="0"/>
        <w:adjustRightInd w:val="0"/>
        <w:spacing w:after="0"/>
        <w:rPr>
          <w:szCs w:val="22"/>
          <w:lang w:val="fr-BE"/>
        </w:rPr>
      </w:pPr>
      <w:r w:rsidRPr="005B64DF">
        <w:rPr>
          <w:snapToGrid w:val="0"/>
          <w:szCs w:val="22"/>
          <w:lang w:val="fr-BE"/>
        </w:rPr>
        <w:t>Au Sénégal, la « </w:t>
      </w:r>
      <w:r w:rsidRPr="005B64DF">
        <w:rPr>
          <w:i/>
          <w:iCs/>
          <w:snapToGrid w:val="0"/>
          <w:szCs w:val="22"/>
          <w:lang w:val="fr-BE"/>
        </w:rPr>
        <w:t>Feuille de route pour l'engagement de l'UE envers la société civile »</w:t>
      </w:r>
      <w:r w:rsidRPr="005B64DF">
        <w:rPr>
          <w:rStyle w:val="FootnoteReference"/>
          <w:i/>
          <w:iCs/>
          <w:snapToGrid w:val="0"/>
          <w:sz w:val="22"/>
          <w:szCs w:val="22"/>
          <w:lang w:val="fr-BE"/>
        </w:rPr>
        <w:footnoteReference w:id="5"/>
      </w:r>
      <w:r w:rsidRPr="005B64DF">
        <w:rPr>
          <w:i/>
          <w:iCs/>
          <w:snapToGrid w:val="0"/>
          <w:szCs w:val="22"/>
          <w:lang w:val="fr-BE"/>
        </w:rPr>
        <w:t>,</w:t>
      </w:r>
      <w:r w:rsidRPr="005B64DF">
        <w:rPr>
          <w:i/>
          <w:iCs/>
          <w:snapToGrid w:val="0"/>
          <w:szCs w:val="22"/>
          <w:vertAlign w:val="superscript"/>
          <w:lang w:val="fr-BE"/>
        </w:rPr>
        <w:t xml:space="preserve"> </w:t>
      </w:r>
      <w:r w:rsidRPr="005B64DF">
        <w:rPr>
          <w:snapToGrid w:val="0"/>
          <w:szCs w:val="22"/>
          <w:lang w:val="fr-BE"/>
        </w:rPr>
        <w:t xml:space="preserve">élaborée en 2021  dans le contexte de la formulation de la stratégie conjointe de coopération de la team Europe avec le Sénégal (2021-2027), et des autres cadre stratégiques de l’UE (plan d’action « genre » de l’Union européenne, stratégie des droits de l’homme) est l’instrument de cadrage de la mise en œuvre de la ligne OSC avec le dialogue </w:t>
      </w:r>
      <w:r w:rsidRPr="005B64DF">
        <w:rPr>
          <w:szCs w:val="22"/>
          <w:lang w:val="fr-BE"/>
        </w:rPr>
        <w:t xml:space="preserve">structuré entre l’Union européenne et les OSC comme l’axe transversal. </w:t>
      </w:r>
    </w:p>
    <w:p w14:paraId="527A8226" w14:textId="77777777" w:rsidR="000374B6" w:rsidRPr="005B64DF" w:rsidRDefault="000374B6" w:rsidP="000374B6">
      <w:pPr>
        <w:autoSpaceDE w:val="0"/>
        <w:autoSpaceDN w:val="0"/>
        <w:adjustRightInd w:val="0"/>
        <w:spacing w:after="0"/>
        <w:rPr>
          <w:szCs w:val="22"/>
          <w:lang w:val="fr-BE"/>
        </w:rPr>
      </w:pPr>
    </w:p>
    <w:p w14:paraId="40DFBEC0" w14:textId="00E8F9EF" w:rsidR="00895E2D" w:rsidRPr="005B64DF" w:rsidRDefault="000374B6" w:rsidP="00895E2D">
      <w:pPr>
        <w:spacing w:after="120"/>
        <w:rPr>
          <w:szCs w:val="22"/>
          <w:lang w:val="fr-BE"/>
        </w:rPr>
      </w:pPr>
      <w:r w:rsidRPr="005B64DF">
        <w:rPr>
          <w:szCs w:val="22"/>
          <w:lang w:val="fr-BE"/>
        </w:rPr>
        <w:t xml:space="preserve">L’objectif général du Dialogue structuré </w:t>
      </w:r>
      <w:r w:rsidR="0098030A" w:rsidRPr="005B64DF">
        <w:rPr>
          <w:szCs w:val="22"/>
          <w:lang w:val="fr-BE"/>
        </w:rPr>
        <w:t xml:space="preserve">(DS) </w:t>
      </w:r>
      <w:r w:rsidRPr="005B64DF">
        <w:rPr>
          <w:szCs w:val="22"/>
          <w:lang w:val="fr-BE"/>
        </w:rPr>
        <w:t xml:space="preserve">est de </w:t>
      </w:r>
      <w:r w:rsidRPr="005B64DF">
        <w:rPr>
          <w:b/>
          <w:szCs w:val="22"/>
          <w:lang w:val="fr-BE"/>
        </w:rPr>
        <w:t xml:space="preserve">renforcer un partenariat </w:t>
      </w:r>
      <w:r w:rsidRPr="005B64DF">
        <w:rPr>
          <w:szCs w:val="22"/>
          <w:lang w:val="fr-BE"/>
        </w:rPr>
        <w:t xml:space="preserve">(partenariat de qualité, profond </w:t>
      </w:r>
      <w:r w:rsidR="0098030A" w:rsidRPr="005B64DF">
        <w:rPr>
          <w:szCs w:val="22"/>
          <w:lang w:val="fr-BE"/>
        </w:rPr>
        <w:t xml:space="preserve">et </w:t>
      </w:r>
      <w:r w:rsidRPr="005B64DF">
        <w:rPr>
          <w:szCs w:val="22"/>
          <w:lang w:val="fr-BE"/>
        </w:rPr>
        <w:t xml:space="preserve">ouvert sur des questions d’intérêt commun) entre </w:t>
      </w:r>
      <w:r w:rsidRPr="005B64DF">
        <w:rPr>
          <w:b/>
          <w:szCs w:val="22"/>
          <w:lang w:val="fr-BE"/>
        </w:rPr>
        <w:t>l</w:t>
      </w:r>
      <w:r w:rsidR="005E06CB">
        <w:rPr>
          <w:b/>
          <w:szCs w:val="22"/>
          <w:lang w:val="fr-BE"/>
        </w:rPr>
        <w:t>a « Team Europe »</w:t>
      </w:r>
      <w:r w:rsidRPr="005B64DF">
        <w:rPr>
          <w:b/>
          <w:szCs w:val="22"/>
          <w:lang w:val="fr-BE"/>
        </w:rPr>
        <w:t xml:space="preserve"> au Sénégal </w:t>
      </w:r>
      <w:r w:rsidR="00895E2D" w:rsidRPr="005B64DF">
        <w:rPr>
          <w:b/>
          <w:szCs w:val="22"/>
          <w:lang w:val="fr-BE"/>
        </w:rPr>
        <w:t>et la société civile sénégalaise</w:t>
      </w:r>
      <w:r w:rsidR="00895E2D" w:rsidRPr="005B64DF">
        <w:rPr>
          <w:szCs w:val="22"/>
          <w:lang w:val="fr-BE"/>
        </w:rPr>
        <w:t xml:space="preserve"> au travers de la construction d’un dialogue structuré qui a mis l’accent sur la priorité « jeunesse » dans le cadre du partenariat UE/Sénégal. </w:t>
      </w:r>
    </w:p>
    <w:p w14:paraId="62A5A882" w14:textId="77777777" w:rsidR="008574B9" w:rsidRPr="005B64DF" w:rsidRDefault="008574B9" w:rsidP="008574B9">
      <w:pPr>
        <w:spacing w:after="120"/>
        <w:rPr>
          <w:b/>
          <w:i/>
          <w:szCs w:val="22"/>
          <w:lang w:val="fr-BE"/>
        </w:rPr>
      </w:pPr>
      <w:r w:rsidRPr="005B64DF">
        <w:rPr>
          <w:b/>
          <w:i/>
          <w:szCs w:val="22"/>
          <w:lang w:val="fr-BE"/>
        </w:rPr>
        <w:t>La jeunesse au Sénégal</w:t>
      </w:r>
    </w:p>
    <w:p w14:paraId="083E7E7D" w14:textId="77777777" w:rsidR="008574B9" w:rsidRPr="005B64DF" w:rsidRDefault="008574B9" w:rsidP="008574B9">
      <w:pPr>
        <w:spacing w:after="120"/>
        <w:rPr>
          <w:szCs w:val="22"/>
          <w:lang w:val="fr-BE"/>
        </w:rPr>
      </w:pPr>
      <w:r w:rsidRPr="005B64DF">
        <w:rPr>
          <w:szCs w:val="22"/>
          <w:lang w:val="fr-BE"/>
        </w:rPr>
        <w:t xml:space="preserve">La population sénégalaise est majoritairement jeune : 52% de la population a moins de 20 ans et 76% moins de 35 ans. La jeunesse fait face à de nombreux défis, en particulier en termes d’emplois, pour beaucoup des jeunes qui n’ont pas reçu d'éducation et de formation. Le chômage et le sous-emploi des jeunes accroissent la vulnérabilité de cette jeunesse. Une part importante de la population souffre de lacunes sur des connaissances fondamentales : un tiers des 15-24 ans est analphabète. </w:t>
      </w:r>
    </w:p>
    <w:p w14:paraId="60872D2B" w14:textId="77777777" w:rsidR="008574B9" w:rsidRPr="005B64DF" w:rsidRDefault="008574B9" w:rsidP="008574B9">
      <w:pPr>
        <w:spacing w:after="120"/>
        <w:rPr>
          <w:szCs w:val="22"/>
        </w:rPr>
      </w:pPr>
      <w:r w:rsidRPr="005B64DF">
        <w:rPr>
          <w:szCs w:val="22"/>
        </w:rPr>
        <w:t xml:space="preserve">Les perspectives doivent être tangibles pour que les jeunes Sénégalaises et Sénégalais ne pensent plus qu’ils sont obligés de partir pour réussir, quoiqu’il leur en coûte, parfois même dans l’illégalité et au péril de leur vie, en s’embarquant de façon hasardeuse sur des pirogues, en remettant leur destin entre les mains des passeurs. </w:t>
      </w:r>
    </w:p>
    <w:p w14:paraId="3CDCA775" w14:textId="77777777" w:rsidR="008574B9" w:rsidRPr="005B64DF" w:rsidRDefault="008574B9" w:rsidP="008574B9">
      <w:pPr>
        <w:pStyle w:val="Default"/>
        <w:spacing w:after="120"/>
        <w:jc w:val="both"/>
        <w:rPr>
          <w:b/>
          <w:i/>
          <w:color w:val="auto"/>
          <w:sz w:val="22"/>
          <w:szCs w:val="22"/>
        </w:rPr>
      </w:pPr>
      <w:r w:rsidRPr="005B64DF">
        <w:rPr>
          <w:b/>
          <w:i/>
          <w:color w:val="auto"/>
          <w:sz w:val="22"/>
          <w:szCs w:val="22"/>
        </w:rPr>
        <w:t>Cadre des priorités de l’UE en matière de jeunesse</w:t>
      </w:r>
    </w:p>
    <w:p w14:paraId="78110F5D" w14:textId="1FA945BA" w:rsidR="008574B9" w:rsidRPr="005B64DF" w:rsidRDefault="008574B9" w:rsidP="00D253E6">
      <w:pPr>
        <w:pStyle w:val="Default"/>
        <w:spacing w:after="120"/>
        <w:jc w:val="both"/>
        <w:rPr>
          <w:szCs w:val="22"/>
          <w:lang w:val="fr-BE"/>
        </w:rPr>
      </w:pPr>
      <w:r w:rsidRPr="00E44CBA">
        <w:rPr>
          <w:color w:val="auto"/>
          <w:sz w:val="22"/>
          <w:szCs w:val="22"/>
        </w:rPr>
        <w:t>Résolution du Conseil de l’UE 2018/C 456/01 : la stratégie jeunesse de l’UE (2019-2027) est basée sur les principes de la participation active de la jeunesse et de l’égalité d’accès aux possibilités. Elle s’applique surtout à l’UE elle-même mais aussi à sa coopération internationale. 3 domaines d’action sont identifiés: Mobiliser, Connecter, Autonomiser</w:t>
      </w:r>
      <w:r w:rsidR="00DE0614" w:rsidRPr="00E44CBA">
        <w:rPr>
          <w:color w:val="auto"/>
          <w:sz w:val="22"/>
          <w:szCs w:val="22"/>
        </w:rPr>
        <w:t xml:space="preserve"> à travers le </w:t>
      </w:r>
      <w:r w:rsidRPr="005E06CB">
        <w:rPr>
          <w:sz w:val="22"/>
          <w:szCs w:val="22"/>
          <w:lang w:val="fr-BE"/>
        </w:rPr>
        <w:t>Plan d’Action jeunesse de l’UE, dont</w:t>
      </w:r>
      <w:r w:rsidRPr="005B64DF">
        <w:rPr>
          <w:szCs w:val="22"/>
          <w:lang w:val="fr-BE"/>
        </w:rPr>
        <w:t xml:space="preserve"> la </w:t>
      </w:r>
      <w:r w:rsidRPr="005E06CB">
        <w:rPr>
          <w:sz w:val="22"/>
          <w:szCs w:val="22"/>
          <w:lang w:val="fr-BE"/>
        </w:rPr>
        <w:lastRenderedPageBreak/>
        <w:t>mise en œuvre est marquée par la mise en place des « Youth Sounding Board » aux niveaux global et d</w:t>
      </w:r>
      <w:r w:rsidR="0098030A" w:rsidRPr="005E06CB">
        <w:rPr>
          <w:sz w:val="22"/>
          <w:szCs w:val="22"/>
          <w:lang w:val="fr-BE"/>
        </w:rPr>
        <w:t>ans l</w:t>
      </w:r>
      <w:r w:rsidRPr="005E06CB">
        <w:rPr>
          <w:sz w:val="22"/>
          <w:szCs w:val="22"/>
          <w:lang w:val="fr-BE"/>
        </w:rPr>
        <w:t>es pays tiers.</w:t>
      </w:r>
    </w:p>
    <w:p w14:paraId="41875726" w14:textId="77777777" w:rsidR="008574B9" w:rsidRPr="005B64DF" w:rsidRDefault="008574B9" w:rsidP="008574B9">
      <w:pPr>
        <w:spacing w:after="120"/>
        <w:rPr>
          <w:szCs w:val="22"/>
          <w:lang w:val="fr-BE"/>
        </w:rPr>
      </w:pPr>
    </w:p>
    <w:p w14:paraId="00272A18" w14:textId="77777777" w:rsidR="008574B9" w:rsidRPr="005B64DF" w:rsidRDefault="00CF327C" w:rsidP="008574B9">
      <w:pPr>
        <w:spacing w:after="120"/>
        <w:rPr>
          <w:szCs w:val="22"/>
        </w:rPr>
      </w:pPr>
      <w:r w:rsidRPr="005B64DF">
        <w:rPr>
          <w:b/>
          <w:szCs w:val="22"/>
        </w:rPr>
        <w:t>L</w:t>
      </w:r>
      <w:r w:rsidR="008574B9" w:rsidRPr="005B64DF">
        <w:rPr>
          <w:b/>
          <w:szCs w:val="22"/>
        </w:rPr>
        <w:t>a Jeunesse est au centre du partenariat UE</w:t>
      </w:r>
      <w:r w:rsidRPr="005B64DF">
        <w:rPr>
          <w:b/>
          <w:szCs w:val="22"/>
        </w:rPr>
        <w:t>/Sénégal</w:t>
      </w:r>
      <w:r w:rsidR="008574B9" w:rsidRPr="005B64DF">
        <w:rPr>
          <w:szCs w:val="22"/>
        </w:rPr>
        <w:t xml:space="preserve"> du fait d’une part, de la structure de la population, mais aussi, d’autre part, parce que les valeurs au centre du projet européen sont aussi celles qui animent la jeunesse : l’égalité des chances, l’égalité des droits, le développement territorial et socio-économique inclusif, des opportunités de formation et d’emplois, etc. </w:t>
      </w:r>
    </w:p>
    <w:p w14:paraId="798693A9" w14:textId="77777777" w:rsidR="00D24EEC" w:rsidRPr="005B64DF" w:rsidRDefault="008574B9" w:rsidP="00D24EEC">
      <w:pPr>
        <w:spacing w:after="120"/>
        <w:rPr>
          <w:szCs w:val="22"/>
        </w:rPr>
      </w:pPr>
      <w:r w:rsidRPr="005B64DF">
        <w:rPr>
          <w:szCs w:val="22"/>
        </w:rPr>
        <w:t xml:space="preserve">L’UE a donc adopté une </w:t>
      </w:r>
      <w:r w:rsidRPr="005B64DF">
        <w:rPr>
          <w:b/>
          <w:szCs w:val="22"/>
        </w:rPr>
        <w:t>approche stratégique à 360°</w:t>
      </w:r>
      <w:r w:rsidRPr="005B64DF">
        <w:rPr>
          <w:szCs w:val="22"/>
        </w:rPr>
        <w:t>. Pour ne pas juste considérer les jeunes comme des bénéficiaires de ses projets, l’UE a adopté une approche « </w:t>
      </w:r>
      <w:r w:rsidRPr="005B64DF">
        <w:rPr>
          <w:b/>
          <w:szCs w:val="22"/>
        </w:rPr>
        <w:t>avec, par et pour les jeunes</w:t>
      </w:r>
      <w:r w:rsidRPr="005B64DF">
        <w:rPr>
          <w:szCs w:val="22"/>
        </w:rPr>
        <w:t> » sur tous les sujets et enjeux auxquels la jeunesse fait face</w:t>
      </w:r>
      <w:r w:rsidR="00CF327C" w:rsidRPr="005B64DF">
        <w:rPr>
          <w:szCs w:val="22"/>
        </w:rPr>
        <w:t> :</w:t>
      </w:r>
      <w:r w:rsidR="00D24EEC" w:rsidRPr="005B64DF">
        <w:rPr>
          <w:szCs w:val="22"/>
        </w:rPr>
        <w:t xml:space="preserve"> </w:t>
      </w:r>
      <w:r w:rsidRPr="005B64DF">
        <w:rPr>
          <w:szCs w:val="22"/>
        </w:rPr>
        <w:t>emploi, employabilité, apprentissage, citoyenneté, inclusion sociale et politique</w:t>
      </w:r>
      <w:r w:rsidR="00CF327C" w:rsidRPr="005B64DF">
        <w:rPr>
          <w:szCs w:val="22"/>
        </w:rPr>
        <w:t xml:space="preserve"> ; mais particulièrement </w:t>
      </w:r>
      <w:r w:rsidR="00D24EEC" w:rsidRPr="005B64DF">
        <w:rPr>
          <w:szCs w:val="22"/>
        </w:rPr>
        <w:t>l’entrepren</w:t>
      </w:r>
      <w:r w:rsidR="0098030A" w:rsidRPr="005B64DF">
        <w:rPr>
          <w:szCs w:val="22"/>
        </w:rPr>
        <w:t>eu</w:t>
      </w:r>
      <w:r w:rsidR="00D24EEC" w:rsidRPr="005B64DF">
        <w:rPr>
          <w:szCs w:val="22"/>
        </w:rPr>
        <w:t>riat.</w:t>
      </w:r>
    </w:p>
    <w:p w14:paraId="3ADBBC66" w14:textId="77777777" w:rsidR="003C070E" w:rsidRPr="005B64DF" w:rsidRDefault="00D24EEC" w:rsidP="00D24EEC">
      <w:pPr>
        <w:spacing w:after="120"/>
        <w:rPr>
          <w:szCs w:val="22"/>
        </w:rPr>
      </w:pPr>
      <w:r w:rsidRPr="005B64DF">
        <w:rPr>
          <w:szCs w:val="22"/>
        </w:rPr>
        <w:t xml:space="preserve">En effet, (l) </w:t>
      </w:r>
      <w:r w:rsidRPr="005B64DF">
        <w:rPr>
          <w:szCs w:val="22"/>
          <w:lang w:val="fr-BE"/>
        </w:rPr>
        <w:t>les jeunes sont acteurs du partenariat avec un cadre stratégique de consultation et d’échange (le « youth sounding board/cadre de consultation des jeunes ») qui permet de faire entendre et prévaloir leu</w:t>
      </w:r>
      <w:r w:rsidR="0098030A" w:rsidRPr="005B64DF">
        <w:rPr>
          <w:szCs w:val="22"/>
          <w:lang w:val="fr-BE"/>
        </w:rPr>
        <w:t>r</w:t>
      </w:r>
      <w:r w:rsidRPr="005B64DF">
        <w:rPr>
          <w:szCs w:val="22"/>
          <w:lang w:val="fr-BE"/>
        </w:rPr>
        <w:t>s voix </w:t>
      </w:r>
      <w:r w:rsidRPr="005B64DF">
        <w:rPr>
          <w:szCs w:val="22"/>
        </w:rPr>
        <w:t xml:space="preserve"> sur </w:t>
      </w:r>
      <w:r w:rsidR="00B30D99" w:rsidRPr="005B64DF">
        <w:rPr>
          <w:szCs w:val="22"/>
        </w:rPr>
        <w:t>les</w:t>
      </w:r>
      <w:r w:rsidRPr="005B64DF">
        <w:rPr>
          <w:szCs w:val="22"/>
        </w:rPr>
        <w:t xml:space="preserve"> questions d’importance pour les jeunes (participation, inclusion, financement, relations avec la société civile traditionnelle, r</w:t>
      </w:r>
      <w:r w:rsidR="00B30D99" w:rsidRPr="005B64DF">
        <w:rPr>
          <w:szCs w:val="22"/>
        </w:rPr>
        <w:t>elation avec le gouvernement…) ; (ii) les jeunes sont des partenaires de mise</w:t>
      </w:r>
      <w:r w:rsidR="003C070E" w:rsidRPr="005B64DF">
        <w:rPr>
          <w:szCs w:val="22"/>
        </w:rPr>
        <w:t xml:space="preserve"> œuvre de la coopération avec des projets sur le terrain pensés et exécutés par eux même et</w:t>
      </w:r>
      <w:r w:rsidR="0098030A" w:rsidRPr="005B64DF">
        <w:rPr>
          <w:szCs w:val="22"/>
        </w:rPr>
        <w:t>,</w:t>
      </w:r>
      <w:r w:rsidR="003C070E" w:rsidRPr="005B64DF">
        <w:rPr>
          <w:szCs w:val="22"/>
        </w:rPr>
        <w:t xml:space="preserve"> enfin</w:t>
      </w:r>
      <w:r w:rsidR="0098030A" w:rsidRPr="005B64DF">
        <w:rPr>
          <w:szCs w:val="22"/>
        </w:rPr>
        <w:t xml:space="preserve">, </w:t>
      </w:r>
      <w:r w:rsidR="003C070E" w:rsidRPr="005B64DF">
        <w:rPr>
          <w:szCs w:val="22"/>
        </w:rPr>
        <w:t>(iii) les jeunes sont les bénéficiaires de la plupart des interventions de l’UE au Sénégal à la fois pour les interventions portées par le Gouvernement que celles mises en œuvre par la société civile.</w:t>
      </w:r>
      <w:r w:rsidR="00772C48" w:rsidRPr="005B64DF">
        <w:rPr>
          <w:szCs w:val="22"/>
        </w:rPr>
        <w:t xml:space="preserve"> Les domaines visés sont divers avec principalement : </w:t>
      </w:r>
    </w:p>
    <w:p w14:paraId="1AD75C9D" w14:textId="77777777" w:rsidR="00D24EEC" w:rsidRPr="005B64DF" w:rsidRDefault="00D24EEC" w:rsidP="00575041">
      <w:pPr>
        <w:pStyle w:val="ListParagraph"/>
        <w:numPr>
          <w:ilvl w:val="0"/>
          <w:numId w:val="49"/>
        </w:numPr>
        <w:spacing w:after="120"/>
        <w:rPr>
          <w:szCs w:val="22"/>
          <w:lang w:val="fr-BE"/>
        </w:rPr>
      </w:pPr>
      <w:r w:rsidRPr="005B64DF">
        <w:rPr>
          <w:szCs w:val="22"/>
          <w:lang w:val="fr-BE"/>
        </w:rPr>
        <w:t>Le développement de l’entrepreneuriat et du secteur privé au profit de l’emploi des jeunes</w:t>
      </w:r>
    </w:p>
    <w:p w14:paraId="5308B86B" w14:textId="77777777" w:rsidR="00D24EEC" w:rsidRPr="005B64DF" w:rsidRDefault="00D24EEC" w:rsidP="00575041">
      <w:pPr>
        <w:pStyle w:val="ListParagraph"/>
        <w:numPr>
          <w:ilvl w:val="0"/>
          <w:numId w:val="49"/>
        </w:numPr>
        <w:spacing w:after="120"/>
        <w:rPr>
          <w:szCs w:val="22"/>
          <w:lang w:val="fr-BE"/>
        </w:rPr>
      </w:pPr>
      <w:r w:rsidRPr="005B64DF">
        <w:rPr>
          <w:szCs w:val="22"/>
          <w:lang w:val="fr-BE"/>
        </w:rPr>
        <w:t xml:space="preserve">L’amélioration des conditions de vie des jeunes des zones défavorables pour leur permettre de jouer un rôle économique et social clé dans leurs communautés </w:t>
      </w:r>
    </w:p>
    <w:p w14:paraId="1097C25B" w14:textId="77777777" w:rsidR="00D24EEC" w:rsidRPr="005B64DF" w:rsidRDefault="00D24EEC" w:rsidP="00575041">
      <w:pPr>
        <w:pStyle w:val="ListParagraph"/>
        <w:numPr>
          <w:ilvl w:val="0"/>
          <w:numId w:val="49"/>
        </w:numPr>
        <w:spacing w:after="120"/>
        <w:rPr>
          <w:szCs w:val="22"/>
          <w:lang w:val="fr-BE"/>
        </w:rPr>
      </w:pPr>
      <w:r w:rsidRPr="005B64DF">
        <w:rPr>
          <w:szCs w:val="22"/>
          <w:lang w:val="fr-BE"/>
        </w:rPr>
        <w:t>La facilitation de l’accès au numérique afin de pérenniser et rendre plus résilientes les activités de promotion de l’économie locale</w:t>
      </w:r>
    </w:p>
    <w:p w14:paraId="2907DC99" w14:textId="77777777" w:rsidR="00D24EEC" w:rsidRPr="005B64DF" w:rsidRDefault="00D24EEC" w:rsidP="00575041">
      <w:pPr>
        <w:pStyle w:val="ListParagraph"/>
        <w:numPr>
          <w:ilvl w:val="0"/>
          <w:numId w:val="49"/>
        </w:numPr>
        <w:spacing w:after="120"/>
        <w:rPr>
          <w:szCs w:val="22"/>
          <w:lang w:val="fr-BE"/>
        </w:rPr>
      </w:pPr>
      <w:r w:rsidRPr="005B64DF">
        <w:rPr>
          <w:szCs w:val="22"/>
          <w:lang w:val="fr-BE"/>
        </w:rPr>
        <w:t>L’appui à la structuration des organisations de jeunesse et au développement d’outils et de moyens d’améliorer l’inclusion des jeunes dans les politiques.</w:t>
      </w:r>
    </w:p>
    <w:p w14:paraId="2DA6B49F" w14:textId="77777777" w:rsidR="00D24EEC" w:rsidRPr="005B64DF" w:rsidRDefault="00D24EEC" w:rsidP="008574B9">
      <w:pPr>
        <w:spacing w:after="120"/>
        <w:rPr>
          <w:szCs w:val="22"/>
        </w:rPr>
      </w:pPr>
    </w:p>
    <w:p w14:paraId="6F6C05D6" w14:textId="77777777" w:rsidR="00CF327C" w:rsidRPr="005B64DF" w:rsidRDefault="008E267D" w:rsidP="00CF327C">
      <w:pPr>
        <w:autoSpaceDE w:val="0"/>
        <w:autoSpaceDN w:val="0"/>
        <w:adjustRightInd w:val="0"/>
        <w:rPr>
          <w:i/>
          <w:szCs w:val="22"/>
        </w:rPr>
      </w:pPr>
      <w:r w:rsidRPr="005B64DF">
        <w:rPr>
          <w:b/>
          <w:i/>
          <w:szCs w:val="22"/>
        </w:rPr>
        <w:t>Jeunesse</w:t>
      </w:r>
      <w:r w:rsidR="00895E2D" w:rsidRPr="005B64DF">
        <w:rPr>
          <w:b/>
          <w:i/>
          <w:szCs w:val="22"/>
        </w:rPr>
        <w:t xml:space="preserve">, Société </w:t>
      </w:r>
      <w:r w:rsidR="00043063" w:rsidRPr="005B64DF">
        <w:rPr>
          <w:b/>
          <w:i/>
          <w:szCs w:val="22"/>
        </w:rPr>
        <w:t>civile et</w:t>
      </w:r>
      <w:r w:rsidRPr="005B64DF">
        <w:rPr>
          <w:b/>
          <w:i/>
          <w:szCs w:val="22"/>
        </w:rPr>
        <w:t xml:space="preserve"> </w:t>
      </w:r>
      <w:r w:rsidR="0098030A" w:rsidRPr="005B64DF">
        <w:rPr>
          <w:b/>
          <w:i/>
          <w:szCs w:val="22"/>
        </w:rPr>
        <w:t>entrepreneuriat</w:t>
      </w:r>
    </w:p>
    <w:p w14:paraId="1E28C6EC" w14:textId="3F7797F9" w:rsidR="009F35EA" w:rsidRPr="005B64DF" w:rsidRDefault="00CF327C" w:rsidP="009F35EA">
      <w:pPr>
        <w:rPr>
          <w:szCs w:val="22"/>
          <w:lang w:val="fr-BE"/>
        </w:rPr>
      </w:pPr>
      <w:r w:rsidRPr="005B64DF">
        <w:rPr>
          <w:szCs w:val="22"/>
          <w:u w:val="single"/>
          <w:lang w:val="fr-BE"/>
        </w:rPr>
        <w:t>L</w:t>
      </w:r>
      <w:r w:rsidR="00857C2C" w:rsidRPr="005B64DF">
        <w:rPr>
          <w:szCs w:val="22"/>
          <w:u w:val="single"/>
          <w:lang w:val="fr-BE"/>
        </w:rPr>
        <w:t>’</w:t>
      </w:r>
      <w:r w:rsidR="00EE7732">
        <w:rPr>
          <w:b/>
          <w:szCs w:val="22"/>
          <w:u w:val="single"/>
          <w:lang w:val="fr-BE"/>
        </w:rPr>
        <w:t xml:space="preserve">«Entrepreneuriat» </w:t>
      </w:r>
      <w:r w:rsidRPr="005B64DF">
        <w:rPr>
          <w:b/>
          <w:szCs w:val="22"/>
          <w:u w:val="single"/>
          <w:lang w:val="fr-BE"/>
        </w:rPr>
        <w:t xml:space="preserve">des jeunes </w:t>
      </w:r>
      <w:r w:rsidR="008E267D" w:rsidRPr="005B64DF">
        <w:rPr>
          <w:b/>
          <w:szCs w:val="22"/>
          <w:u w:val="single"/>
          <w:lang w:val="fr-BE"/>
        </w:rPr>
        <w:t xml:space="preserve">occupe une place importante dans la coopération </w:t>
      </w:r>
      <w:r w:rsidR="00857C2C" w:rsidRPr="005B64DF">
        <w:rPr>
          <w:szCs w:val="22"/>
          <w:lang w:val="fr-BE"/>
        </w:rPr>
        <w:t xml:space="preserve">de la Team Europe </w:t>
      </w:r>
      <w:r w:rsidR="009F35EA" w:rsidRPr="005B64DF">
        <w:rPr>
          <w:szCs w:val="22"/>
          <w:lang w:val="fr-BE"/>
        </w:rPr>
        <w:t xml:space="preserve">(TE) </w:t>
      </w:r>
      <w:r w:rsidR="00857C2C" w:rsidRPr="005B64DF">
        <w:rPr>
          <w:szCs w:val="22"/>
          <w:lang w:val="fr-BE"/>
        </w:rPr>
        <w:t>au Sénégal</w:t>
      </w:r>
      <w:r w:rsidR="00F74F84" w:rsidRPr="005B64DF">
        <w:rPr>
          <w:szCs w:val="22"/>
          <w:lang w:val="fr-BE"/>
        </w:rPr>
        <w:t xml:space="preserve">. L’entrepreneuriat et le développement du secteur privé sont donc une priorité de la TE et doivent être intégrés comme une question centrale dans nos relations avec le Sénégal. </w:t>
      </w:r>
    </w:p>
    <w:p w14:paraId="1D642008" w14:textId="77777777" w:rsidR="009458E2" w:rsidRPr="005B64DF" w:rsidRDefault="009F35EA" w:rsidP="009F35EA">
      <w:pPr>
        <w:rPr>
          <w:szCs w:val="22"/>
          <w:lang w:val="fr-BE" w:eastAsia="fr-BE"/>
        </w:rPr>
      </w:pPr>
      <w:r w:rsidRPr="005B64DF">
        <w:rPr>
          <w:szCs w:val="22"/>
          <w:lang w:val="fr-BE"/>
        </w:rPr>
        <w:t>En conséquence</w:t>
      </w:r>
      <w:r w:rsidR="00F74F84" w:rsidRPr="005B64DF">
        <w:rPr>
          <w:szCs w:val="22"/>
          <w:lang w:val="fr-BE"/>
        </w:rPr>
        <w:t xml:space="preserve">, différentes initiatives viennent renforcer l’engagement de l’UE en faveur de la </w:t>
      </w:r>
      <w:r w:rsidR="00F74F84" w:rsidRPr="005B64DF">
        <w:rPr>
          <w:b/>
          <w:bCs/>
          <w:szCs w:val="22"/>
          <w:lang w:val="fr-BE"/>
        </w:rPr>
        <w:t>jeunesse sénégalaise et des femmes</w:t>
      </w:r>
      <w:r w:rsidR="00F74F84" w:rsidRPr="005B64DF">
        <w:rPr>
          <w:bCs/>
          <w:szCs w:val="22"/>
          <w:lang w:val="fr-BE"/>
        </w:rPr>
        <w:t>. L'UE s'est engagée auprès du Sénégal afin de mobiliser de manière cohérente et coordonnée l'ensemble des incitations et des outils disponibles tant au niveau de l'UE que des États membres pour renforcer l’entrepreneuriat et le développement du secteur privé en vue de la création d’emplois durables et décents. P</w:t>
      </w:r>
      <w:r w:rsidR="008E267D" w:rsidRPr="005B64DF">
        <w:rPr>
          <w:szCs w:val="22"/>
          <w:lang w:val="fr-BE"/>
        </w:rPr>
        <w:t>armi les</w:t>
      </w:r>
      <w:r w:rsidR="00857C2C" w:rsidRPr="005B64DF">
        <w:rPr>
          <w:szCs w:val="22"/>
          <w:lang w:val="fr-BE"/>
        </w:rPr>
        <w:t xml:space="preserve"> actions </w:t>
      </w:r>
      <w:r w:rsidR="008E267D" w:rsidRPr="005B64DF">
        <w:rPr>
          <w:szCs w:val="22"/>
          <w:lang w:val="fr-BE" w:eastAsia="en-GB"/>
        </w:rPr>
        <w:t xml:space="preserve">financées dans ce cadre, </w:t>
      </w:r>
      <w:r w:rsidR="00857C2C" w:rsidRPr="005B64DF">
        <w:rPr>
          <w:bCs/>
          <w:szCs w:val="22"/>
          <w:lang w:eastAsia="en-GB"/>
        </w:rPr>
        <w:t>des</w:t>
      </w:r>
      <w:r w:rsidR="00857C2C" w:rsidRPr="005B64DF">
        <w:rPr>
          <w:b/>
          <w:szCs w:val="22"/>
        </w:rPr>
        <w:t xml:space="preserve"> initiatives</w:t>
      </w:r>
      <w:r w:rsidR="00857C2C" w:rsidRPr="005B64DF">
        <w:rPr>
          <w:szCs w:val="22"/>
        </w:rPr>
        <w:t xml:space="preserve"> à travers les investissements verts dans l’agriculture, le renforcement de la gouvernance économique et les systèmes de formation professionnelle pour l’entrepreneuriat des jeunes, </w:t>
      </w:r>
      <w:r w:rsidR="00857C2C" w:rsidRPr="005B64DF">
        <w:rPr>
          <w:szCs w:val="22"/>
          <w:lang w:val="fr-BE" w:eastAsia="en-GB"/>
        </w:rPr>
        <w:t>mise</w:t>
      </w:r>
      <w:r w:rsidR="00AC5AD8" w:rsidRPr="005B64DF">
        <w:rPr>
          <w:szCs w:val="22"/>
          <w:lang w:val="fr-BE" w:eastAsia="en-GB"/>
        </w:rPr>
        <w:t>s</w:t>
      </w:r>
      <w:r w:rsidR="00857C2C" w:rsidRPr="005B64DF">
        <w:rPr>
          <w:szCs w:val="22"/>
          <w:lang w:val="fr-BE" w:eastAsia="en-GB"/>
        </w:rPr>
        <w:t xml:space="preserve"> en œuvre en étroite coordination avec la Team Europe</w:t>
      </w:r>
      <w:r w:rsidR="00F74F84" w:rsidRPr="005B64DF">
        <w:rPr>
          <w:szCs w:val="22"/>
          <w:lang w:val="fr-BE" w:eastAsia="en-GB"/>
        </w:rPr>
        <w:t xml:space="preserve">. </w:t>
      </w:r>
      <w:r w:rsidR="00AC5AD8" w:rsidRPr="005B64DF">
        <w:rPr>
          <w:szCs w:val="22"/>
          <w:lang w:val="fr-BE" w:eastAsia="en-GB"/>
        </w:rPr>
        <w:t>L’</w:t>
      </w:r>
      <w:r w:rsidR="00AC5AD8" w:rsidRPr="005B64DF">
        <w:rPr>
          <w:b/>
          <w:szCs w:val="22"/>
          <w:lang w:val="fr-BE" w:eastAsia="en-GB"/>
        </w:rPr>
        <w:t xml:space="preserve">initiative phare </w:t>
      </w:r>
      <w:r w:rsidR="00AC5AD8" w:rsidRPr="005B64DF">
        <w:rPr>
          <w:szCs w:val="22"/>
          <w:lang w:val="fr-BE"/>
        </w:rPr>
        <w:t xml:space="preserve">de la Team Europe Initiative (TEI) continentale en matière d’entrepreneuriat est « Investing in Young Businesses in Africa (IYBA) ». </w:t>
      </w:r>
      <w:r w:rsidR="00AC5AD8" w:rsidRPr="005B64DF">
        <w:rPr>
          <w:szCs w:val="22"/>
          <w:lang w:val="fr-BE" w:eastAsia="fr-BE"/>
        </w:rPr>
        <w:t xml:space="preserve">Cette initiative aide, en Afrique, </w:t>
      </w:r>
      <w:r w:rsidR="00AC5AD8" w:rsidRPr="005B64DF">
        <w:rPr>
          <w:b/>
          <w:bCs/>
          <w:szCs w:val="22"/>
          <w:lang w:val="fr-BE" w:eastAsia="fr-BE"/>
        </w:rPr>
        <w:t xml:space="preserve">les entreprises en phase de démarrage </w:t>
      </w:r>
      <w:r w:rsidR="00AC5AD8" w:rsidRPr="005B64DF">
        <w:rPr>
          <w:szCs w:val="22"/>
          <w:lang w:val="fr-BE" w:eastAsia="fr-BE"/>
        </w:rPr>
        <w:t xml:space="preserve">et </w:t>
      </w:r>
      <w:r w:rsidR="00AC5AD8" w:rsidRPr="005B64DF">
        <w:rPr>
          <w:b/>
          <w:bCs/>
          <w:szCs w:val="22"/>
          <w:lang w:val="fr-BE" w:eastAsia="fr-BE"/>
        </w:rPr>
        <w:t xml:space="preserve">les jeunes entrepreneurs et entrepreneuses </w:t>
      </w:r>
      <w:r w:rsidR="00AC5AD8" w:rsidRPr="005B64DF">
        <w:rPr>
          <w:szCs w:val="22"/>
          <w:lang w:val="fr-BE" w:eastAsia="fr-BE"/>
        </w:rPr>
        <w:t xml:space="preserve">à lancer et à développer des activités durables, robustes et inclusives, et à créer des emplois décents. Pour ce faire, elle étend </w:t>
      </w:r>
      <w:r w:rsidR="00AC5AD8" w:rsidRPr="005B64DF">
        <w:rPr>
          <w:b/>
          <w:bCs/>
          <w:szCs w:val="22"/>
          <w:lang w:val="fr-BE" w:eastAsia="fr-BE"/>
        </w:rPr>
        <w:t xml:space="preserve">l’aide financière et technique </w:t>
      </w:r>
      <w:r w:rsidR="00AC5AD8" w:rsidRPr="005B64DF">
        <w:rPr>
          <w:szCs w:val="22"/>
          <w:lang w:val="fr-BE" w:eastAsia="fr-BE"/>
        </w:rPr>
        <w:t xml:space="preserve">à ces entreprises en phase de démarrage et </w:t>
      </w:r>
      <w:r w:rsidR="00AC5AD8" w:rsidRPr="005B64DF">
        <w:rPr>
          <w:b/>
          <w:bCs/>
          <w:szCs w:val="22"/>
          <w:lang w:val="fr-BE" w:eastAsia="fr-BE"/>
        </w:rPr>
        <w:t xml:space="preserve">renforce </w:t>
      </w:r>
      <w:r w:rsidR="00AC5AD8" w:rsidRPr="005B64DF">
        <w:rPr>
          <w:szCs w:val="22"/>
          <w:lang w:val="fr-BE" w:eastAsia="fr-BE"/>
        </w:rPr>
        <w:t xml:space="preserve">les </w:t>
      </w:r>
      <w:r w:rsidR="00AC5AD8" w:rsidRPr="005B64DF">
        <w:rPr>
          <w:b/>
          <w:bCs/>
          <w:szCs w:val="22"/>
          <w:lang w:val="fr-BE" w:eastAsia="fr-BE"/>
        </w:rPr>
        <w:t xml:space="preserve">organisations </w:t>
      </w:r>
      <w:r w:rsidR="00AC5AD8" w:rsidRPr="005B64DF">
        <w:rPr>
          <w:szCs w:val="22"/>
          <w:lang w:val="fr-BE" w:eastAsia="fr-BE"/>
        </w:rPr>
        <w:t>qui les soutiennent.</w:t>
      </w:r>
      <w:r w:rsidR="00B654E1" w:rsidRPr="005B64DF">
        <w:rPr>
          <w:szCs w:val="22"/>
          <w:lang w:val="fr-BE" w:eastAsia="fr-BE"/>
        </w:rPr>
        <w:t xml:space="preserve"> IYBA</w:t>
      </w:r>
      <w:r w:rsidR="00AC5AD8" w:rsidRPr="005B64DF">
        <w:rPr>
          <w:szCs w:val="22"/>
          <w:lang w:val="fr-BE" w:eastAsia="fr-BE"/>
        </w:rPr>
        <w:t xml:space="preserve"> est en particulier axée sur les femmes et sur les jeunes entrepreneurs et entrepreneuses. </w:t>
      </w:r>
    </w:p>
    <w:p w14:paraId="252D93A5" w14:textId="77777777" w:rsidR="009458E2" w:rsidRPr="005B64DF" w:rsidRDefault="009458E2" w:rsidP="009F35EA">
      <w:pPr>
        <w:autoSpaceDE w:val="0"/>
        <w:autoSpaceDN w:val="0"/>
        <w:adjustRightInd w:val="0"/>
        <w:spacing w:after="0"/>
        <w:jc w:val="left"/>
        <w:rPr>
          <w:szCs w:val="22"/>
          <w:lang w:val="fr-BE" w:eastAsia="fr-BE"/>
        </w:rPr>
      </w:pPr>
    </w:p>
    <w:p w14:paraId="6085F862" w14:textId="77777777" w:rsidR="00857C2C" w:rsidRPr="005B64DF" w:rsidRDefault="00857C2C" w:rsidP="00857C2C">
      <w:pPr>
        <w:pStyle w:val="Default"/>
        <w:jc w:val="both"/>
        <w:rPr>
          <w:color w:val="auto"/>
          <w:sz w:val="22"/>
          <w:szCs w:val="22"/>
          <w:lang w:val="fr-BE"/>
        </w:rPr>
      </w:pPr>
      <w:r w:rsidRPr="005B64DF">
        <w:rPr>
          <w:color w:val="auto"/>
          <w:sz w:val="22"/>
          <w:szCs w:val="22"/>
          <w:lang w:val="fr-BE"/>
        </w:rPr>
        <w:lastRenderedPageBreak/>
        <w:t xml:space="preserve">Dans ce contexte, il est important de souligner et d’intégrer la contribution des OSC qui orientent leurs interventions dans les maillons importants que sont (i) la structuration et la mise en réseau des différents acteurs de l’écosystème socio-économique des territoires, afin de développer un </w:t>
      </w:r>
      <w:r w:rsidR="00B654E1" w:rsidRPr="005B64DF">
        <w:rPr>
          <w:color w:val="auto"/>
          <w:sz w:val="22"/>
          <w:szCs w:val="22"/>
          <w:lang w:val="fr-BE"/>
        </w:rPr>
        <w:t xml:space="preserve">entrepreneuriat </w:t>
      </w:r>
      <w:r w:rsidRPr="005B64DF">
        <w:rPr>
          <w:color w:val="auto"/>
          <w:sz w:val="22"/>
          <w:szCs w:val="22"/>
          <w:lang w:val="fr-BE"/>
        </w:rPr>
        <w:t>coopératif dans les filières porteuses des régions d’intervention à travers la promotion de PME, (ii) l’appui-conseil aux organisations de producteurs, (iii) l</w:t>
      </w:r>
      <w:r w:rsidR="00B654E1" w:rsidRPr="005B64DF">
        <w:rPr>
          <w:color w:val="auto"/>
          <w:sz w:val="22"/>
          <w:szCs w:val="22"/>
          <w:lang w:val="fr-BE"/>
        </w:rPr>
        <w:t xml:space="preserve">a structuration </w:t>
      </w:r>
      <w:r w:rsidRPr="005B64DF">
        <w:rPr>
          <w:color w:val="auto"/>
          <w:sz w:val="22"/>
          <w:szCs w:val="22"/>
          <w:lang w:val="fr-BE"/>
        </w:rPr>
        <w:t xml:space="preserve">des acteurs des filières porteuses et (iv) la promotion de la facilitation de l’accès au financement, notamment des jeunes et femmes porteurs d’idées et de projets. </w:t>
      </w:r>
    </w:p>
    <w:p w14:paraId="0E96A078" w14:textId="77777777" w:rsidR="00566E81" w:rsidRPr="005B64DF" w:rsidRDefault="00566E81" w:rsidP="00857C2C">
      <w:pPr>
        <w:pStyle w:val="Default"/>
        <w:jc w:val="both"/>
        <w:rPr>
          <w:color w:val="auto"/>
          <w:sz w:val="22"/>
          <w:szCs w:val="22"/>
          <w:lang w:val="fr-BE"/>
        </w:rPr>
      </w:pPr>
    </w:p>
    <w:p w14:paraId="7B9CF73A" w14:textId="6F351FD5" w:rsidR="00E44CBA" w:rsidRDefault="00566E81" w:rsidP="00E44CBA">
      <w:pPr>
        <w:rPr>
          <w:sz w:val="24"/>
          <w:szCs w:val="24"/>
        </w:rPr>
      </w:pPr>
      <w:r w:rsidRPr="005B64DF">
        <w:rPr>
          <w:szCs w:val="22"/>
          <w:lang w:val="fr-BE"/>
        </w:rPr>
        <w:t>C’est pourquoi, le dialogue structuré Société civile</w:t>
      </w:r>
      <w:r w:rsidR="00A83B95" w:rsidRPr="005B64DF">
        <w:rPr>
          <w:szCs w:val="22"/>
          <w:lang w:val="fr-BE"/>
        </w:rPr>
        <w:t xml:space="preserve"> - </w:t>
      </w:r>
      <w:r w:rsidRPr="005B64DF">
        <w:rPr>
          <w:szCs w:val="22"/>
          <w:lang w:val="fr-BE"/>
        </w:rPr>
        <w:t xml:space="preserve">Union européenne a mis l’accent sur la </w:t>
      </w:r>
      <w:r w:rsidRPr="005B64DF">
        <w:rPr>
          <w:b/>
          <w:szCs w:val="22"/>
          <w:lang w:val="fr-BE"/>
        </w:rPr>
        <w:t>jeunesse et particulièrement l’insertion économique,</w:t>
      </w:r>
      <w:r w:rsidRPr="005B64DF">
        <w:rPr>
          <w:szCs w:val="22"/>
          <w:lang w:val="fr-BE"/>
        </w:rPr>
        <w:t xml:space="preserve"> ces deux dernières années. En effet, la première session d’octobre 2023 a porté sur les </w:t>
      </w:r>
      <w:r w:rsidRPr="005B64DF">
        <w:rPr>
          <w:b/>
          <w:i/>
          <w:szCs w:val="22"/>
          <w:lang w:val="fr-BE"/>
        </w:rPr>
        <w:t>« solutions de la société civile sur l’employabilité et l’insertion des jeunes </w:t>
      </w:r>
      <w:r w:rsidRPr="005B64DF">
        <w:rPr>
          <w:szCs w:val="22"/>
          <w:lang w:val="fr-BE"/>
        </w:rPr>
        <w:t xml:space="preserve">», </w:t>
      </w:r>
      <w:r w:rsidR="00B654E1" w:rsidRPr="005B64DF">
        <w:rPr>
          <w:szCs w:val="22"/>
          <w:lang w:val="fr-BE"/>
        </w:rPr>
        <w:t>et celle</w:t>
      </w:r>
      <w:r w:rsidRPr="005B64DF">
        <w:rPr>
          <w:szCs w:val="22"/>
          <w:lang w:val="fr-BE"/>
        </w:rPr>
        <w:t xml:space="preserve"> d’avril 2024 a fait focus sur </w:t>
      </w:r>
      <w:r w:rsidR="00B654E1" w:rsidRPr="005B64DF">
        <w:rPr>
          <w:b/>
          <w:i/>
          <w:szCs w:val="22"/>
          <w:lang w:val="fr-BE"/>
        </w:rPr>
        <w:t xml:space="preserve">l’entrepreneuriat </w:t>
      </w:r>
      <w:r w:rsidRPr="005B64DF">
        <w:rPr>
          <w:b/>
          <w:i/>
          <w:szCs w:val="22"/>
          <w:lang w:val="fr-BE"/>
        </w:rPr>
        <w:t>social</w:t>
      </w:r>
      <w:r w:rsidRPr="005B64DF">
        <w:rPr>
          <w:b/>
          <w:szCs w:val="22"/>
          <w:lang w:val="fr-BE"/>
        </w:rPr>
        <w:t xml:space="preserve"> </w:t>
      </w:r>
      <w:r w:rsidRPr="005B64DF">
        <w:rPr>
          <w:b/>
          <w:i/>
          <w:szCs w:val="22"/>
          <w:lang w:val="fr-BE"/>
        </w:rPr>
        <w:t>et privé des jeunes dans les secteurs liés à la stratégie de l’Union européenne « Global Gateway</w:t>
      </w:r>
      <w:r w:rsidR="00492560">
        <w:rPr>
          <w:rStyle w:val="FootnoteReference"/>
          <w:b/>
          <w:i/>
          <w:szCs w:val="22"/>
          <w:lang w:val="fr-BE"/>
        </w:rPr>
        <w:footnoteReference w:id="6"/>
      </w:r>
      <w:r w:rsidRPr="005B64DF">
        <w:rPr>
          <w:b/>
          <w:i/>
          <w:szCs w:val="22"/>
          <w:lang w:val="fr-BE"/>
        </w:rPr>
        <w:t> » au niveau des trois régions sud (Sédhiou, Ziguinchor et Kolda).</w:t>
      </w:r>
      <w:r w:rsidRPr="005B64DF">
        <w:rPr>
          <w:szCs w:val="22"/>
          <w:lang w:val="fr-BE"/>
        </w:rPr>
        <w:t xml:space="preserve"> </w:t>
      </w:r>
      <w:r w:rsidR="00630736" w:rsidRPr="005B64DF">
        <w:rPr>
          <w:szCs w:val="22"/>
          <w:lang w:val="fr-BE"/>
        </w:rPr>
        <w:t xml:space="preserve">Cette session a permis d’analyser les différentes contraintes liées à </w:t>
      </w:r>
      <w:r w:rsidR="00B654E1" w:rsidRPr="005B64DF">
        <w:rPr>
          <w:szCs w:val="22"/>
          <w:lang w:val="fr-BE"/>
        </w:rPr>
        <w:t xml:space="preserve">l’entrepreneuriat </w:t>
      </w:r>
      <w:r w:rsidR="00630736" w:rsidRPr="005B64DF">
        <w:rPr>
          <w:szCs w:val="22"/>
          <w:lang w:val="fr-BE"/>
        </w:rPr>
        <w:t xml:space="preserve">des jeunes (formation professionnelle, </w:t>
      </w:r>
      <w:r w:rsidR="00AA295A" w:rsidRPr="005B64DF">
        <w:rPr>
          <w:szCs w:val="22"/>
          <w:lang w:val="fr-BE"/>
        </w:rPr>
        <w:t>écosystème,</w:t>
      </w:r>
      <w:r w:rsidR="00630736" w:rsidRPr="005B64DF">
        <w:rPr>
          <w:szCs w:val="22"/>
          <w:lang w:val="fr-BE"/>
        </w:rPr>
        <w:t xml:space="preserve"> accès aux marchés et aux financements, capacités techniques, services financiers et non financiers……) avant de formuler des </w:t>
      </w:r>
      <w:r w:rsidRPr="005B64DF">
        <w:rPr>
          <w:szCs w:val="22"/>
          <w:lang w:val="fr-BE"/>
        </w:rPr>
        <w:t xml:space="preserve">propositions et recommandations </w:t>
      </w:r>
      <w:r w:rsidR="00630736" w:rsidRPr="005B64DF">
        <w:rPr>
          <w:szCs w:val="22"/>
          <w:lang w:val="fr-BE"/>
        </w:rPr>
        <w:t>endogènes pour le développeme</w:t>
      </w:r>
      <w:r w:rsidRPr="005B64DF">
        <w:rPr>
          <w:szCs w:val="22"/>
          <w:lang w:val="fr-BE"/>
        </w:rPr>
        <w:t xml:space="preserve">nt de </w:t>
      </w:r>
      <w:r w:rsidR="00AA295A" w:rsidRPr="005B64DF">
        <w:rPr>
          <w:szCs w:val="22"/>
          <w:lang w:val="fr-BE"/>
        </w:rPr>
        <w:t xml:space="preserve">l’entrepreneuriat </w:t>
      </w:r>
      <w:r w:rsidRPr="005B64DF">
        <w:rPr>
          <w:szCs w:val="22"/>
          <w:lang w:val="fr-BE"/>
        </w:rPr>
        <w:t xml:space="preserve">des jeunes dans </w:t>
      </w:r>
      <w:r w:rsidR="00AA295A" w:rsidRPr="005B64DF">
        <w:rPr>
          <w:szCs w:val="22"/>
          <w:lang w:val="fr-BE"/>
        </w:rPr>
        <w:t xml:space="preserve">les </w:t>
      </w:r>
      <w:r w:rsidRPr="005B64DF">
        <w:rPr>
          <w:szCs w:val="22"/>
          <w:lang w:val="fr-BE"/>
        </w:rPr>
        <w:t xml:space="preserve">différents secteurs </w:t>
      </w:r>
      <w:r w:rsidR="00AA295A" w:rsidRPr="005B64DF">
        <w:rPr>
          <w:szCs w:val="22"/>
          <w:lang w:val="fr-BE"/>
        </w:rPr>
        <w:t xml:space="preserve">porteurs </w:t>
      </w:r>
      <w:r w:rsidRPr="005B64DF">
        <w:rPr>
          <w:szCs w:val="22"/>
          <w:lang w:val="fr-BE"/>
        </w:rPr>
        <w:t>de ces régions.</w:t>
      </w:r>
      <w:r w:rsidR="00E44CBA">
        <w:rPr>
          <w:szCs w:val="22"/>
          <w:lang w:val="fr-BE"/>
        </w:rPr>
        <w:t xml:space="preserve"> La troisième session </w:t>
      </w:r>
      <w:r w:rsidR="00344F2D">
        <w:rPr>
          <w:szCs w:val="22"/>
          <w:lang w:val="fr-BE"/>
        </w:rPr>
        <w:t xml:space="preserve">du « Dialogue structuré » UE/OSC organisé à Saint louis le 05 décembre 2024, a mis l’accent sur </w:t>
      </w:r>
      <w:r w:rsidR="00E44CBA">
        <w:rPr>
          <w:szCs w:val="22"/>
          <w:lang w:val="fr-BE"/>
        </w:rPr>
        <w:t xml:space="preserve">les alliances et </w:t>
      </w:r>
      <w:r w:rsidR="00E44CBA">
        <w:rPr>
          <w:sz w:val="24"/>
          <w:szCs w:val="24"/>
        </w:rPr>
        <w:t>les synergies entre la société civile et le secteur privé pour un dévelo</w:t>
      </w:r>
      <w:r w:rsidR="00A074B0">
        <w:rPr>
          <w:sz w:val="24"/>
          <w:szCs w:val="24"/>
        </w:rPr>
        <w:t xml:space="preserve">ppement inclusif et durable et </w:t>
      </w:r>
      <w:r w:rsidR="00E44CBA">
        <w:rPr>
          <w:sz w:val="24"/>
          <w:szCs w:val="24"/>
        </w:rPr>
        <w:t>la création d’emplois p</w:t>
      </w:r>
      <w:r w:rsidR="009D46D5">
        <w:rPr>
          <w:sz w:val="24"/>
          <w:szCs w:val="24"/>
        </w:rPr>
        <w:t xml:space="preserve">our les jeunes, un enjeu clé du </w:t>
      </w:r>
      <w:r w:rsidR="00E44CBA">
        <w:rPr>
          <w:sz w:val="24"/>
          <w:szCs w:val="24"/>
        </w:rPr>
        <w:t>partenariat</w:t>
      </w:r>
      <w:r w:rsidR="009D46D5">
        <w:rPr>
          <w:sz w:val="24"/>
          <w:szCs w:val="24"/>
        </w:rPr>
        <w:t xml:space="preserve"> </w:t>
      </w:r>
      <w:r w:rsidR="00AB1565">
        <w:rPr>
          <w:sz w:val="24"/>
          <w:szCs w:val="24"/>
        </w:rPr>
        <w:t>UE/</w:t>
      </w:r>
      <w:r w:rsidR="00E44CBA">
        <w:rPr>
          <w:sz w:val="24"/>
          <w:szCs w:val="24"/>
        </w:rPr>
        <w:t>Sénégal.</w:t>
      </w:r>
    </w:p>
    <w:p w14:paraId="64131601" w14:textId="77777777" w:rsidR="00A074B0" w:rsidRDefault="00A074B0" w:rsidP="00E44CBA">
      <w:pPr>
        <w:rPr>
          <w:sz w:val="24"/>
          <w:szCs w:val="24"/>
        </w:rPr>
      </w:pPr>
    </w:p>
    <w:p w14:paraId="7E81982B" w14:textId="7051E7A5" w:rsidR="00223CF3" w:rsidRPr="0075133B" w:rsidRDefault="008E267D" w:rsidP="00A8103B">
      <w:pPr>
        <w:rPr>
          <w:b/>
          <w:i/>
          <w:szCs w:val="22"/>
          <w:lang w:val="fr-BE"/>
        </w:rPr>
      </w:pPr>
      <w:r w:rsidRPr="0075133B">
        <w:rPr>
          <w:b/>
          <w:i/>
          <w:szCs w:val="22"/>
          <w:lang w:val="fr-BE"/>
        </w:rPr>
        <w:t>Jeunesse et participation dans l’espace publique</w:t>
      </w:r>
      <w:r w:rsidR="00223CF3" w:rsidRPr="00592BA9">
        <w:rPr>
          <w:b/>
          <w:i/>
          <w:szCs w:val="22"/>
          <w:lang w:val="fr-BE"/>
        </w:rPr>
        <w:t> : Programme d’appui budgétaire européen</w:t>
      </w:r>
      <w:r w:rsidR="00CC33E4" w:rsidRPr="00592BA9">
        <w:rPr>
          <w:b/>
          <w:i/>
          <w:szCs w:val="22"/>
          <w:lang w:val="fr-BE"/>
        </w:rPr>
        <w:t xml:space="preserve"> p</w:t>
      </w:r>
      <w:r w:rsidR="00223CF3" w:rsidRPr="00592BA9">
        <w:rPr>
          <w:b/>
          <w:i/>
          <w:szCs w:val="22"/>
          <w:lang w:val="fr-BE"/>
        </w:rPr>
        <w:t>our la jeunesse, l’emploi</w:t>
      </w:r>
      <w:r w:rsidR="00223CF3" w:rsidRPr="0075133B">
        <w:rPr>
          <w:b/>
          <w:i/>
          <w:szCs w:val="22"/>
          <w:lang w:val="fr-BE"/>
        </w:rPr>
        <w:t xml:space="preserve"> et les enjeux migratoires</w:t>
      </w:r>
    </w:p>
    <w:p w14:paraId="4CB7A328" w14:textId="77777777" w:rsidR="00D023AF" w:rsidRPr="0075133B" w:rsidRDefault="009A3278" w:rsidP="00D023AF">
      <w:pPr>
        <w:rPr>
          <w:szCs w:val="22"/>
          <w:lang w:val="fr-BE"/>
        </w:rPr>
      </w:pPr>
      <w:r w:rsidRPr="0075133B">
        <w:rPr>
          <w:szCs w:val="22"/>
          <w:lang w:val="fr-BE"/>
        </w:rPr>
        <w:t>L'o</w:t>
      </w:r>
      <w:r w:rsidR="00223CF3" w:rsidRPr="0075133B">
        <w:rPr>
          <w:szCs w:val="22"/>
          <w:lang w:val="fr-BE"/>
        </w:rPr>
        <w:t xml:space="preserve">bjectif </w:t>
      </w:r>
      <w:r w:rsidR="00772C48" w:rsidRPr="0075133B">
        <w:rPr>
          <w:szCs w:val="22"/>
          <w:lang w:val="fr-BE"/>
        </w:rPr>
        <w:t>de ce programme</w:t>
      </w:r>
      <w:r w:rsidR="00223CF3" w:rsidRPr="0075133B">
        <w:rPr>
          <w:szCs w:val="22"/>
          <w:lang w:val="fr-BE"/>
        </w:rPr>
        <w:t xml:space="preserve"> est de contribuer à l'épanouissement économique, social et politique des jeunes au Sénégal. L</w:t>
      </w:r>
      <w:r w:rsidR="005D6AB6" w:rsidRPr="0075133B">
        <w:rPr>
          <w:szCs w:val="22"/>
          <w:lang w:val="fr-BE"/>
        </w:rPr>
        <w:t xml:space="preserve">e </w:t>
      </w:r>
      <w:r w:rsidR="00223CF3" w:rsidRPr="0075133B">
        <w:rPr>
          <w:szCs w:val="22"/>
          <w:lang w:val="fr-BE"/>
        </w:rPr>
        <w:t xml:space="preserve">programme </w:t>
      </w:r>
      <w:r w:rsidR="00630736" w:rsidRPr="0075133B">
        <w:rPr>
          <w:szCs w:val="22"/>
          <w:lang w:val="fr-BE"/>
        </w:rPr>
        <w:t>vise</w:t>
      </w:r>
      <w:r w:rsidR="001B2413" w:rsidRPr="0075133B">
        <w:rPr>
          <w:szCs w:val="22"/>
          <w:lang w:val="fr-BE"/>
        </w:rPr>
        <w:t>,</w:t>
      </w:r>
      <w:r w:rsidR="00630736" w:rsidRPr="0075133B">
        <w:rPr>
          <w:szCs w:val="22"/>
          <w:lang w:val="fr-BE"/>
        </w:rPr>
        <w:t xml:space="preserve"> entre</w:t>
      </w:r>
      <w:r w:rsidR="00223CF3" w:rsidRPr="0075133B">
        <w:rPr>
          <w:szCs w:val="22"/>
          <w:lang w:val="fr-BE"/>
        </w:rPr>
        <w:t xml:space="preserve"> autres</w:t>
      </w:r>
      <w:r w:rsidR="00D023AF" w:rsidRPr="0075133B">
        <w:rPr>
          <w:szCs w:val="22"/>
          <w:lang w:val="fr-BE"/>
        </w:rPr>
        <w:t xml:space="preserve"> résultat</w:t>
      </w:r>
      <w:r w:rsidR="00A83B95" w:rsidRPr="0075133B">
        <w:rPr>
          <w:szCs w:val="22"/>
          <w:lang w:val="fr-BE"/>
        </w:rPr>
        <w:t>s</w:t>
      </w:r>
      <w:r w:rsidR="00223CF3" w:rsidRPr="0075133B">
        <w:rPr>
          <w:szCs w:val="22"/>
          <w:lang w:val="fr-BE"/>
        </w:rPr>
        <w:t>, ceux-ci- dessous</w:t>
      </w:r>
      <w:r w:rsidR="00D023AF" w:rsidRPr="0075133B">
        <w:rPr>
          <w:szCs w:val="22"/>
          <w:lang w:val="fr-BE"/>
        </w:rPr>
        <w:t> :</w:t>
      </w:r>
    </w:p>
    <w:p w14:paraId="3BFB00FC" w14:textId="77777777" w:rsidR="00D023AF" w:rsidRPr="0075133B" w:rsidRDefault="00D023AF" w:rsidP="00C934B5">
      <w:pPr>
        <w:ind w:left="720"/>
        <w:rPr>
          <w:szCs w:val="22"/>
          <w:lang w:val="fr-BE"/>
        </w:rPr>
      </w:pPr>
      <w:r w:rsidRPr="0075133B">
        <w:rPr>
          <w:szCs w:val="22"/>
          <w:lang w:val="fr-BE"/>
        </w:rPr>
        <w:t xml:space="preserve">1. Favoriser l’insertion économique et l’employabilité des jeunes, notamment des jeunes filles/femmes, en privilégiant une économie plus durable sur le plan environnemental ; </w:t>
      </w:r>
    </w:p>
    <w:p w14:paraId="27619A04" w14:textId="77777777" w:rsidR="00D023AF" w:rsidRPr="0075133B" w:rsidRDefault="00D023AF" w:rsidP="00C934B5">
      <w:pPr>
        <w:ind w:left="720"/>
        <w:rPr>
          <w:szCs w:val="22"/>
          <w:lang w:val="fr-BE"/>
        </w:rPr>
      </w:pPr>
      <w:r w:rsidRPr="0075133B">
        <w:rPr>
          <w:szCs w:val="22"/>
          <w:lang w:val="fr-BE"/>
        </w:rPr>
        <w:t>2. Accroître la participation de la jeunesse à la vie publique</w:t>
      </w:r>
      <w:r w:rsidR="00C0020C" w:rsidRPr="0075133B">
        <w:rPr>
          <w:szCs w:val="22"/>
          <w:lang w:val="fr-BE"/>
        </w:rPr>
        <w:t>, notamment des jeunes femmes</w:t>
      </w:r>
      <w:r w:rsidRPr="0075133B">
        <w:rPr>
          <w:szCs w:val="22"/>
          <w:lang w:val="fr-BE"/>
        </w:rPr>
        <w:t xml:space="preserve"> ;  </w:t>
      </w:r>
    </w:p>
    <w:p w14:paraId="665E5674" w14:textId="77777777" w:rsidR="00D023AF" w:rsidRPr="0075133B" w:rsidRDefault="00D023AF" w:rsidP="00C934B5">
      <w:pPr>
        <w:ind w:left="720"/>
        <w:rPr>
          <w:szCs w:val="22"/>
          <w:lang w:val="fr-BE"/>
        </w:rPr>
      </w:pPr>
      <w:r w:rsidRPr="0075133B">
        <w:rPr>
          <w:szCs w:val="22"/>
          <w:lang w:val="fr-BE"/>
        </w:rPr>
        <w:t>3. Répondre aux autres défis et aspirations sociales de la jeunesse, en particulier des jeunes filles </w:t>
      </w:r>
      <w:r w:rsidR="00FB1245" w:rsidRPr="0075133B">
        <w:rPr>
          <w:szCs w:val="22"/>
          <w:lang w:val="fr-BE"/>
        </w:rPr>
        <w:t>et femmes</w:t>
      </w:r>
      <w:r w:rsidRPr="0075133B">
        <w:rPr>
          <w:szCs w:val="22"/>
          <w:lang w:val="fr-BE"/>
        </w:rPr>
        <w:t xml:space="preserve">; </w:t>
      </w:r>
    </w:p>
    <w:p w14:paraId="4C279986" w14:textId="77777777" w:rsidR="00D023AF" w:rsidRPr="0075133B" w:rsidRDefault="00772C48" w:rsidP="00D023AF">
      <w:pPr>
        <w:rPr>
          <w:szCs w:val="22"/>
          <w:lang w:val="fr-BE"/>
        </w:rPr>
      </w:pPr>
      <w:r w:rsidRPr="0075133B">
        <w:rPr>
          <w:szCs w:val="22"/>
          <w:lang w:val="fr-BE"/>
        </w:rPr>
        <w:t>La mise en œuvre du</w:t>
      </w:r>
      <w:r w:rsidR="00223CF3" w:rsidRPr="0075133B">
        <w:rPr>
          <w:szCs w:val="22"/>
          <w:lang w:val="fr-BE"/>
        </w:rPr>
        <w:t xml:space="preserve"> programme en plus des appuis directs au Gouvernement, se fait aussi au travers d’un appui à la société civile pour accompagner les</w:t>
      </w:r>
      <w:r w:rsidR="00697857" w:rsidRPr="0075133B">
        <w:rPr>
          <w:szCs w:val="22"/>
          <w:lang w:val="fr-BE"/>
        </w:rPr>
        <w:t xml:space="preserve"> organisations de jeunesse sur leurs différentes aspirations.</w:t>
      </w:r>
      <w:r w:rsidR="00D023AF" w:rsidRPr="0075133B">
        <w:rPr>
          <w:szCs w:val="22"/>
          <w:lang w:val="fr-BE"/>
        </w:rPr>
        <w:t xml:space="preserve">  </w:t>
      </w:r>
    </w:p>
    <w:p w14:paraId="26398D69" w14:textId="77777777" w:rsidR="00A83B95" w:rsidRPr="0075133B" w:rsidRDefault="00A83B95" w:rsidP="00D023AF">
      <w:pPr>
        <w:rPr>
          <w:b/>
          <w:szCs w:val="22"/>
          <w:lang w:val="fr-BE"/>
        </w:rPr>
      </w:pPr>
      <w:r w:rsidRPr="0075133B">
        <w:rPr>
          <w:b/>
          <w:szCs w:val="22"/>
          <w:lang w:val="fr-BE"/>
        </w:rPr>
        <w:t>Pour conclure…</w:t>
      </w:r>
    </w:p>
    <w:p w14:paraId="08F2C5EC" w14:textId="7D1DE443" w:rsidR="006970DF" w:rsidRDefault="00A83B95" w:rsidP="00697857">
      <w:pPr>
        <w:tabs>
          <w:tab w:val="left" w:pos="1119"/>
        </w:tabs>
        <w:rPr>
          <w:szCs w:val="22"/>
          <w:lang w:val="fr-BE"/>
        </w:rPr>
      </w:pPr>
      <w:r w:rsidRPr="0075133B">
        <w:rPr>
          <w:szCs w:val="22"/>
          <w:lang w:val="fr-BE"/>
        </w:rPr>
        <w:t>L</w:t>
      </w:r>
      <w:r w:rsidR="00697857" w:rsidRPr="0075133B">
        <w:rPr>
          <w:szCs w:val="22"/>
          <w:lang w:val="fr-BE"/>
        </w:rPr>
        <w:t xml:space="preserve">e présent appel à propositions devra contribuer à compléter la mise en œuvre </w:t>
      </w:r>
      <w:r w:rsidR="007872A2" w:rsidRPr="0075133B">
        <w:rPr>
          <w:szCs w:val="22"/>
          <w:lang w:val="fr-BE"/>
        </w:rPr>
        <w:t>de</w:t>
      </w:r>
      <w:r w:rsidR="00697857" w:rsidRPr="0075133B">
        <w:rPr>
          <w:szCs w:val="22"/>
          <w:lang w:val="fr-BE"/>
        </w:rPr>
        <w:t xml:space="preserve"> la feuille de route de l’engagement de l’UE envers la société civile 2021-2024, particulièrement sur son volet « appui à la jeunesse</w:t>
      </w:r>
      <w:r w:rsidR="00156133" w:rsidRPr="0075133B">
        <w:rPr>
          <w:szCs w:val="22"/>
          <w:lang w:val="fr-BE"/>
        </w:rPr>
        <w:t> »</w:t>
      </w:r>
      <w:r w:rsidR="00AA295A" w:rsidRPr="0075133B">
        <w:rPr>
          <w:szCs w:val="22"/>
          <w:lang w:val="fr-BE"/>
        </w:rPr>
        <w:t xml:space="preserve"> </w:t>
      </w:r>
      <w:r w:rsidR="000E31CA" w:rsidRPr="0075133B">
        <w:rPr>
          <w:szCs w:val="22"/>
          <w:lang w:val="fr-BE"/>
        </w:rPr>
        <w:t xml:space="preserve">en mettant l’accent sur la mise en œuvre des recommandations du « Dialogue structuré UE/OSC sur </w:t>
      </w:r>
      <w:r w:rsidR="00156133" w:rsidRPr="0075133B">
        <w:rPr>
          <w:szCs w:val="22"/>
          <w:lang w:val="fr-BE"/>
        </w:rPr>
        <w:t xml:space="preserve">l’entrepreneuriat </w:t>
      </w:r>
      <w:r w:rsidR="000E31CA" w:rsidRPr="0075133B">
        <w:rPr>
          <w:szCs w:val="22"/>
          <w:lang w:val="fr-BE"/>
        </w:rPr>
        <w:t>des jeunes</w:t>
      </w:r>
      <w:r w:rsidR="00156133" w:rsidRPr="0075133B">
        <w:rPr>
          <w:szCs w:val="22"/>
          <w:lang w:val="fr-BE"/>
        </w:rPr>
        <w:t xml:space="preserve"> (</w:t>
      </w:r>
      <w:r w:rsidR="000E31CA" w:rsidRPr="0075133B">
        <w:rPr>
          <w:szCs w:val="22"/>
          <w:lang w:val="fr-BE"/>
        </w:rPr>
        <w:t xml:space="preserve">Sédhiou 2024) </w:t>
      </w:r>
      <w:r w:rsidR="00772C48" w:rsidRPr="0075133B">
        <w:rPr>
          <w:szCs w:val="22"/>
          <w:lang w:val="fr-BE"/>
        </w:rPr>
        <w:t>et contribuer à l’exécution du programme d’appui budgétaire dans son volet « accompagnement technique ».</w:t>
      </w:r>
    </w:p>
    <w:p w14:paraId="7ECAE9EE" w14:textId="77777777" w:rsidR="00AB1565" w:rsidRPr="0075133B" w:rsidRDefault="00AB1565" w:rsidP="00697857">
      <w:pPr>
        <w:tabs>
          <w:tab w:val="left" w:pos="1119"/>
        </w:tabs>
        <w:rPr>
          <w:szCs w:val="22"/>
          <w:lang w:val="fr-BE"/>
        </w:rPr>
      </w:pPr>
    </w:p>
    <w:p w14:paraId="649F9ADE" w14:textId="77777777" w:rsidR="0007408E" w:rsidRPr="0075133B" w:rsidRDefault="0007408E" w:rsidP="00575041">
      <w:pPr>
        <w:pStyle w:val="Guidelines2"/>
        <w:numPr>
          <w:ilvl w:val="1"/>
          <w:numId w:val="17"/>
        </w:numPr>
        <w:rPr>
          <w:rFonts w:ascii="Times New Roman" w:hAnsi="Times New Roman"/>
          <w:sz w:val="22"/>
          <w:szCs w:val="22"/>
        </w:rPr>
      </w:pPr>
      <w:bookmarkStart w:id="7" w:name="_Toc74830945"/>
      <w:bookmarkStart w:id="8" w:name="_Toc179890125"/>
      <w:bookmarkStart w:id="9" w:name="_Toc182404625"/>
      <w:r w:rsidRPr="0075133B">
        <w:rPr>
          <w:rFonts w:ascii="Times New Roman" w:hAnsi="Times New Roman"/>
          <w:sz w:val="22"/>
          <w:szCs w:val="22"/>
        </w:rPr>
        <w:lastRenderedPageBreak/>
        <w:t>Objectifs du programme et priorités</w:t>
      </w:r>
      <w:bookmarkEnd w:id="7"/>
      <w:bookmarkEnd w:id="8"/>
      <w:bookmarkEnd w:id="9"/>
      <w:r w:rsidRPr="0075133B">
        <w:rPr>
          <w:rFonts w:ascii="Times New Roman" w:hAnsi="Times New Roman"/>
          <w:sz w:val="22"/>
          <w:szCs w:val="22"/>
        </w:rPr>
        <w:t xml:space="preserve"> </w:t>
      </w:r>
    </w:p>
    <w:p w14:paraId="5A050FF6" w14:textId="77777777" w:rsidR="00772C48" w:rsidRPr="00344F2D" w:rsidRDefault="00772C48" w:rsidP="00772C48">
      <w:pPr>
        <w:rPr>
          <w:szCs w:val="22"/>
        </w:rPr>
      </w:pPr>
    </w:p>
    <w:p w14:paraId="0F423DFE" w14:textId="77777777" w:rsidR="00026D5B" w:rsidRPr="0075133B" w:rsidRDefault="00026D5B" w:rsidP="00BD6FF1">
      <w:pPr>
        <w:rPr>
          <w:szCs w:val="22"/>
        </w:rPr>
      </w:pPr>
      <w:r w:rsidRPr="0075133B">
        <w:rPr>
          <w:szCs w:val="22"/>
        </w:rPr>
        <w:t>L’</w:t>
      </w:r>
      <w:r w:rsidRPr="0075133B">
        <w:rPr>
          <w:b/>
          <w:szCs w:val="22"/>
        </w:rPr>
        <w:t>objectif général</w:t>
      </w:r>
      <w:r w:rsidRPr="0075133B">
        <w:rPr>
          <w:szCs w:val="22"/>
        </w:rPr>
        <w:t xml:space="preserve"> du pr</w:t>
      </w:r>
      <w:r w:rsidR="00772C48" w:rsidRPr="0075133B">
        <w:rPr>
          <w:szCs w:val="22"/>
        </w:rPr>
        <w:t>ésent appel à propositions est de soutenir l’</w:t>
      </w:r>
      <w:r w:rsidR="00B40DFF" w:rsidRPr="0075133B">
        <w:rPr>
          <w:szCs w:val="22"/>
        </w:rPr>
        <w:t xml:space="preserve">engagement de la société civile pour </w:t>
      </w:r>
      <w:r w:rsidR="00772C48" w:rsidRPr="0075133B">
        <w:rPr>
          <w:szCs w:val="22"/>
        </w:rPr>
        <w:t xml:space="preserve">la jeunesse sénégalaise dans leurs dynamiques </w:t>
      </w:r>
      <w:r w:rsidR="009F2AE3" w:rsidRPr="0075133B">
        <w:rPr>
          <w:szCs w:val="22"/>
        </w:rPr>
        <w:t xml:space="preserve">sociales, </w:t>
      </w:r>
      <w:r w:rsidR="00772C48" w:rsidRPr="0075133B">
        <w:rPr>
          <w:szCs w:val="22"/>
        </w:rPr>
        <w:t>entrepreneuriale</w:t>
      </w:r>
      <w:r w:rsidR="00035329" w:rsidRPr="0075133B">
        <w:rPr>
          <w:szCs w:val="22"/>
        </w:rPr>
        <w:t>s</w:t>
      </w:r>
      <w:r w:rsidR="00772C48" w:rsidRPr="0075133B">
        <w:rPr>
          <w:szCs w:val="22"/>
        </w:rPr>
        <w:t>, de participation</w:t>
      </w:r>
      <w:r w:rsidR="0057228A" w:rsidRPr="0075133B">
        <w:rPr>
          <w:szCs w:val="22"/>
        </w:rPr>
        <w:t xml:space="preserve">, d’inclusion </w:t>
      </w:r>
      <w:r w:rsidR="00772C48" w:rsidRPr="0075133B">
        <w:rPr>
          <w:szCs w:val="22"/>
        </w:rPr>
        <w:t xml:space="preserve">et de </w:t>
      </w:r>
      <w:r w:rsidR="00C934B5" w:rsidRPr="0075133B">
        <w:rPr>
          <w:szCs w:val="22"/>
        </w:rPr>
        <w:t>gouvernance.</w:t>
      </w:r>
    </w:p>
    <w:p w14:paraId="7B50E2C8" w14:textId="77777777" w:rsidR="00D9700E" w:rsidRPr="0075133B" w:rsidRDefault="00026D5B" w:rsidP="00BD6FF1">
      <w:pPr>
        <w:rPr>
          <w:szCs w:val="22"/>
        </w:rPr>
      </w:pPr>
      <w:r w:rsidRPr="0075133B">
        <w:rPr>
          <w:szCs w:val="22"/>
        </w:rPr>
        <w:t xml:space="preserve">Les </w:t>
      </w:r>
      <w:r w:rsidR="00EB709C" w:rsidRPr="0075133B">
        <w:rPr>
          <w:b/>
          <w:szCs w:val="22"/>
        </w:rPr>
        <w:t xml:space="preserve">objectifs spécifiques </w:t>
      </w:r>
      <w:r w:rsidRPr="0075133B">
        <w:rPr>
          <w:szCs w:val="22"/>
        </w:rPr>
        <w:t>du p</w:t>
      </w:r>
      <w:r w:rsidR="00C934B5" w:rsidRPr="0075133B">
        <w:rPr>
          <w:szCs w:val="22"/>
        </w:rPr>
        <w:t xml:space="preserve">résent appel à propositions </w:t>
      </w:r>
      <w:r w:rsidRPr="0075133B">
        <w:rPr>
          <w:szCs w:val="22"/>
        </w:rPr>
        <w:t xml:space="preserve">sont: </w:t>
      </w:r>
    </w:p>
    <w:p w14:paraId="6919049F" w14:textId="4D6AB28C" w:rsidR="00D9700E" w:rsidRPr="0075133B" w:rsidRDefault="00D9700E" w:rsidP="00664128">
      <w:pPr>
        <w:numPr>
          <w:ilvl w:val="0"/>
          <w:numId w:val="45"/>
        </w:numPr>
        <w:autoSpaceDE w:val="0"/>
        <w:autoSpaceDN w:val="0"/>
        <w:adjustRightInd w:val="0"/>
        <w:rPr>
          <w:snapToGrid w:val="0"/>
          <w:szCs w:val="22"/>
          <w:lang w:val="fr-BE"/>
        </w:rPr>
      </w:pPr>
      <w:r w:rsidRPr="0075133B">
        <w:rPr>
          <w:snapToGrid w:val="0"/>
          <w:szCs w:val="22"/>
          <w:lang w:val="fr-BE"/>
        </w:rPr>
        <w:t xml:space="preserve">Soutenir les actions des organisations de la société civile concourant </w:t>
      </w:r>
      <w:r w:rsidR="004C0528" w:rsidRPr="0075133B">
        <w:rPr>
          <w:snapToGrid w:val="0"/>
          <w:szCs w:val="22"/>
          <w:lang w:val="fr-BE"/>
        </w:rPr>
        <w:t xml:space="preserve">à l’émergence d’un écosystème d’entrepreneuriat </w:t>
      </w:r>
      <w:r w:rsidR="003C5764" w:rsidRPr="0075133B">
        <w:rPr>
          <w:snapToGrid w:val="0"/>
          <w:szCs w:val="22"/>
          <w:lang w:val="fr-BE"/>
        </w:rPr>
        <w:t>pour</w:t>
      </w:r>
      <w:r w:rsidR="004C0528" w:rsidRPr="0075133B">
        <w:rPr>
          <w:snapToGrid w:val="0"/>
          <w:szCs w:val="22"/>
          <w:lang w:val="fr-BE"/>
        </w:rPr>
        <w:t xml:space="preserve"> un</w:t>
      </w:r>
      <w:r w:rsidR="00664128" w:rsidRPr="0075133B">
        <w:rPr>
          <w:snapToGrid w:val="0"/>
          <w:szCs w:val="22"/>
          <w:lang w:val="fr-BE"/>
        </w:rPr>
        <w:t xml:space="preserve"> développement endogène d</w:t>
      </w:r>
      <w:r w:rsidR="004C0528" w:rsidRPr="0075133B">
        <w:rPr>
          <w:snapToGrid w:val="0"/>
          <w:szCs w:val="22"/>
          <w:lang w:val="fr-BE"/>
        </w:rPr>
        <w:t>urable et inclusi</w:t>
      </w:r>
      <w:r w:rsidR="00664128" w:rsidRPr="0075133B">
        <w:rPr>
          <w:snapToGrid w:val="0"/>
          <w:szCs w:val="22"/>
          <w:lang w:val="fr-BE"/>
        </w:rPr>
        <w:t>f</w:t>
      </w:r>
      <w:r w:rsidR="004C0528" w:rsidRPr="0075133B">
        <w:rPr>
          <w:snapToGrid w:val="0"/>
          <w:szCs w:val="22"/>
          <w:lang w:val="fr-BE"/>
        </w:rPr>
        <w:t xml:space="preserve"> par le biais </w:t>
      </w:r>
      <w:r w:rsidRPr="0075133B">
        <w:rPr>
          <w:snapToGrid w:val="0"/>
          <w:szCs w:val="22"/>
          <w:lang w:val="fr-BE"/>
        </w:rPr>
        <w:t>des jeunes en milieu rural et périurbain</w:t>
      </w:r>
      <w:r w:rsidR="00156133" w:rsidRPr="0075133B">
        <w:rPr>
          <w:snapToGrid w:val="0"/>
          <w:szCs w:val="22"/>
          <w:lang w:val="fr-BE"/>
        </w:rPr>
        <w:t>.</w:t>
      </w:r>
      <w:r w:rsidR="004C0528" w:rsidRPr="0075133B">
        <w:rPr>
          <w:snapToGrid w:val="0"/>
          <w:szCs w:val="22"/>
          <w:lang w:val="fr-BE"/>
        </w:rPr>
        <w:t xml:space="preserve"> </w:t>
      </w:r>
    </w:p>
    <w:p w14:paraId="7FD32C3D" w14:textId="77777777" w:rsidR="00EB709C" w:rsidRPr="0075133B" w:rsidRDefault="00EB709C" w:rsidP="00EB709C">
      <w:pPr>
        <w:pStyle w:val="ListParagraph"/>
        <w:numPr>
          <w:ilvl w:val="0"/>
          <w:numId w:val="45"/>
        </w:numPr>
        <w:spacing w:after="0"/>
        <w:contextualSpacing/>
        <w:rPr>
          <w:szCs w:val="22"/>
          <w:lang w:val="fr-BE"/>
        </w:rPr>
      </w:pPr>
      <w:r w:rsidRPr="0075133B">
        <w:rPr>
          <w:szCs w:val="22"/>
          <w:lang w:val="fr-BE"/>
        </w:rPr>
        <w:t xml:space="preserve">Soutenir les réponses aux défis et aspirations sociales de la jeunesse (participation publique, </w:t>
      </w:r>
      <w:r w:rsidR="003C5764" w:rsidRPr="0075133B">
        <w:rPr>
          <w:szCs w:val="22"/>
          <w:lang w:val="fr-BE"/>
        </w:rPr>
        <w:t xml:space="preserve">leadership, </w:t>
      </w:r>
      <w:r w:rsidRPr="0075133B">
        <w:rPr>
          <w:szCs w:val="22"/>
          <w:lang w:val="fr-BE"/>
        </w:rPr>
        <w:t>accès au sport, à la</w:t>
      </w:r>
      <w:r w:rsidR="009F2AE3" w:rsidRPr="0075133B">
        <w:rPr>
          <w:szCs w:val="22"/>
          <w:lang w:val="fr-BE"/>
        </w:rPr>
        <w:t xml:space="preserve"> culture…)</w:t>
      </w:r>
      <w:r w:rsidRPr="0075133B">
        <w:rPr>
          <w:szCs w:val="22"/>
          <w:lang w:val="fr-BE"/>
        </w:rPr>
        <w:t xml:space="preserve">, en particulier des jeunes filles et </w:t>
      </w:r>
      <w:r w:rsidR="003C5764" w:rsidRPr="0075133B">
        <w:rPr>
          <w:szCs w:val="22"/>
          <w:lang w:val="fr-BE"/>
        </w:rPr>
        <w:t xml:space="preserve">des </w:t>
      </w:r>
      <w:r w:rsidRPr="0075133B">
        <w:rPr>
          <w:szCs w:val="22"/>
          <w:lang w:val="fr-BE"/>
        </w:rPr>
        <w:t>femmes</w:t>
      </w:r>
      <w:r w:rsidR="00156133" w:rsidRPr="0075133B">
        <w:rPr>
          <w:szCs w:val="22"/>
          <w:lang w:val="fr-BE"/>
        </w:rPr>
        <w:t>.</w:t>
      </w:r>
      <w:r w:rsidRPr="0075133B">
        <w:rPr>
          <w:szCs w:val="22"/>
          <w:lang w:val="fr-BE"/>
        </w:rPr>
        <w:t xml:space="preserve"> </w:t>
      </w:r>
    </w:p>
    <w:p w14:paraId="63551040" w14:textId="77777777" w:rsidR="008239BB" w:rsidRPr="0075133B" w:rsidRDefault="008239BB" w:rsidP="00EB709C">
      <w:pPr>
        <w:autoSpaceDE w:val="0"/>
        <w:autoSpaceDN w:val="0"/>
        <w:adjustRightInd w:val="0"/>
        <w:ind w:left="720"/>
        <w:rPr>
          <w:snapToGrid w:val="0"/>
          <w:szCs w:val="22"/>
          <w:lang w:val="fr-BE"/>
        </w:rPr>
      </w:pPr>
    </w:p>
    <w:p w14:paraId="515D5D43" w14:textId="77777777" w:rsidR="00B73F3F" w:rsidRPr="0075133B" w:rsidRDefault="00B73F3F" w:rsidP="00BD6FF1">
      <w:pPr>
        <w:rPr>
          <w:szCs w:val="22"/>
        </w:rPr>
      </w:pPr>
      <w:r w:rsidRPr="0075133B">
        <w:rPr>
          <w:szCs w:val="22"/>
        </w:rPr>
        <w:t>Le présent appel</w:t>
      </w:r>
      <w:r w:rsidR="00B40DFF" w:rsidRPr="0075133B">
        <w:rPr>
          <w:szCs w:val="22"/>
        </w:rPr>
        <w:t xml:space="preserve"> à propositions a pour priorités</w:t>
      </w:r>
      <w:r w:rsidR="00156133" w:rsidRPr="0075133B">
        <w:rPr>
          <w:szCs w:val="22"/>
        </w:rPr>
        <w:t xml:space="preserve"> </w:t>
      </w:r>
      <w:r w:rsidRPr="0075133B">
        <w:rPr>
          <w:szCs w:val="22"/>
        </w:rPr>
        <w:t xml:space="preserve">: </w:t>
      </w:r>
    </w:p>
    <w:p w14:paraId="05CFB068" w14:textId="77777777" w:rsidR="0057228A" w:rsidRPr="0075133B" w:rsidRDefault="0057228A" w:rsidP="0057228A">
      <w:pPr>
        <w:spacing w:line="288" w:lineRule="auto"/>
        <w:rPr>
          <w:b/>
          <w:szCs w:val="22"/>
          <w:lang w:val="fr-BE"/>
        </w:rPr>
      </w:pPr>
      <w:r w:rsidRPr="0075133B">
        <w:rPr>
          <w:b/>
          <w:szCs w:val="22"/>
          <w:lang w:val="fr-BE"/>
        </w:rPr>
        <w:t>Priorités stratégiques de l’appel à propositions</w:t>
      </w:r>
    </w:p>
    <w:p w14:paraId="0BAF29D3" w14:textId="2A32FBA0" w:rsidR="0057228A" w:rsidRPr="0075133B" w:rsidRDefault="005E06CB" w:rsidP="00575041">
      <w:pPr>
        <w:pStyle w:val="ListParagraph"/>
        <w:numPr>
          <w:ilvl w:val="0"/>
          <w:numId w:val="50"/>
        </w:numPr>
        <w:rPr>
          <w:szCs w:val="22"/>
        </w:rPr>
      </w:pPr>
      <w:r>
        <w:rPr>
          <w:szCs w:val="22"/>
          <w:lang w:val="fr-BE"/>
        </w:rPr>
        <w:t>R</w:t>
      </w:r>
      <w:r w:rsidR="0057228A" w:rsidRPr="0075133B">
        <w:rPr>
          <w:szCs w:val="22"/>
        </w:rPr>
        <w:t xml:space="preserve">echerche de cohérence et d’étroite coordination avec les interventions financées par l’UE sur l’engagement envers la société civile et le partenariat avec des organisations de jeunesse dans le domaine de </w:t>
      </w:r>
      <w:r w:rsidR="00156133" w:rsidRPr="0075133B">
        <w:rPr>
          <w:szCs w:val="22"/>
        </w:rPr>
        <w:t>l’entrepreneuriat</w:t>
      </w:r>
      <w:r w:rsidR="00035329" w:rsidRPr="0075133B">
        <w:rPr>
          <w:szCs w:val="22"/>
        </w:rPr>
        <w:t>,</w:t>
      </w:r>
      <w:r w:rsidR="0057228A" w:rsidRPr="0075133B">
        <w:rPr>
          <w:szCs w:val="22"/>
        </w:rPr>
        <w:t xml:space="preserve"> </w:t>
      </w:r>
      <w:r w:rsidR="00035329" w:rsidRPr="0075133B">
        <w:rPr>
          <w:szCs w:val="22"/>
        </w:rPr>
        <w:t xml:space="preserve">dans les régions ciblées (lot 1) </w:t>
      </w:r>
      <w:r w:rsidR="0057228A" w:rsidRPr="0075133B">
        <w:rPr>
          <w:szCs w:val="22"/>
        </w:rPr>
        <w:t>(y inclus celles actives sur la promotion de l’égalité homme</w:t>
      </w:r>
      <w:r w:rsidR="00156133" w:rsidRPr="0075133B">
        <w:rPr>
          <w:szCs w:val="22"/>
        </w:rPr>
        <w:t>s</w:t>
      </w:r>
      <w:r w:rsidR="0057228A" w:rsidRPr="0075133B">
        <w:rPr>
          <w:szCs w:val="22"/>
        </w:rPr>
        <w:t>-femmes) et avec les structures locales et décentralisé</w:t>
      </w:r>
      <w:r w:rsidR="00193266" w:rsidRPr="0075133B">
        <w:rPr>
          <w:szCs w:val="22"/>
        </w:rPr>
        <w:t>e</w:t>
      </w:r>
      <w:r w:rsidR="0057228A" w:rsidRPr="0075133B">
        <w:rPr>
          <w:szCs w:val="22"/>
        </w:rPr>
        <w:t>s.</w:t>
      </w:r>
    </w:p>
    <w:p w14:paraId="59E4454A" w14:textId="47BA3BA0" w:rsidR="00035329" w:rsidRPr="0075133B" w:rsidRDefault="009D46D5" w:rsidP="00575041">
      <w:pPr>
        <w:pStyle w:val="ListParagraph"/>
        <w:numPr>
          <w:ilvl w:val="0"/>
          <w:numId w:val="50"/>
        </w:numPr>
        <w:autoSpaceDE w:val="0"/>
        <w:autoSpaceDN w:val="0"/>
        <w:adjustRightInd w:val="0"/>
        <w:rPr>
          <w:szCs w:val="22"/>
          <w:lang w:val="fr-BE"/>
        </w:rPr>
      </w:pPr>
      <w:r w:rsidRPr="0075133B">
        <w:rPr>
          <w:szCs w:val="22"/>
        </w:rPr>
        <w:t xml:space="preserve">Contribution à la mise en œuvre de </w:t>
      </w:r>
      <w:r w:rsidR="0057228A" w:rsidRPr="0075133B">
        <w:rPr>
          <w:szCs w:val="22"/>
        </w:rPr>
        <w:t xml:space="preserve">la stratégie « Global Gateway » de l’UE </w:t>
      </w:r>
      <w:r w:rsidRPr="0075133B">
        <w:rPr>
          <w:szCs w:val="22"/>
        </w:rPr>
        <w:t xml:space="preserve">dans son approche 360° </w:t>
      </w:r>
      <w:r w:rsidR="0057228A" w:rsidRPr="0075133B">
        <w:rPr>
          <w:szCs w:val="22"/>
        </w:rPr>
        <w:t xml:space="preserve">et </w:t>
      </w:r>
      <w:r w:rsidR="005E06CB">
        <w:rPr>
          <w:szCs w:val="22"/>
        </w:rPr>
        <w:t xml:space="preserve">à </w:t>
      </w:r>
      <w:r w:rsidR="0057228A" w:rsidRPr="00592BA9">
        <w:rPr>
          <w:szCs w:val="22"/>
        </w:rPr>
        <w:t>une meilleure visibilité de l’action de</w:t>
      </w:r>
      <w:r w:rsidR="0057228A" w:rsidRPr="0075133B">
        <w:rPr>
          <w:szCs w:val="22"/>
          <w:lang w:val="fr-BE"/>
        </w:rPr>
        <w:t xml:space="preserve"> l’Union européenne, </w:t>
      </w:r>
    </w:p>
    <w:p w14:paraId="25430638" w14:textId="77777777" w:rsidR="00035329" w:rsidRPr="0075133B" w:rsidRDefault="0057228A" w:rsidP="00035329">
      <w:pPr>
        <w:autoSpaceDE w:val="0"/>
        <w:autoSpaceDN w:val="0"/>
        <w:adjustRightInd w:val="0"/>
        <w:rPr>
          <w:b/>
          <w:szCs w:val="22"/>
          <w:lang w:val="fr-BE" w:eastAsia="fr-FR"/>
        </w:rPr>
      </w:pPr>
      <w:r w:rsidRPr="0075133B">
        <w:rPr>
          <w:b/>
          <w:szCs w:val="22"/>
        </w:rPr>
        <w:t xml:space="preserve"> </w:t>
      </w:r>
      <w:r w:rsidR="00035329" w:rsidRPr="0075133B">
        <w:rPr>
          <w:b/>
          <w:szCs w:val="22"/>
          <w:lang w:val="fr-BE" w:eastAsia="fr-FR"/>
        </w:rPr>
        <w:t>Pour l’objectif spécifique 1 </w:t>
      </w:r>
      <w:r w:rsidR="005C2616" w:rsidRPr="0075133B">
        <w:rPr>
          <w:b/>
          <w:szCs w:val="22"/>
          <w:lang w:val="fr-BE" w:eastAsia="fr-FR"/>
        </w:rPr>
        <w:t>(lot 1)</w:t>
      </w:r>
      <w:r w:rsidR="00035329" w:rsidRPr="0075133B">
        <w:rPr>
          <w:b/>
          <w:szCs w:val="22"/>
          <w:lang w:val="fr-BE" w:eastAsia="fr-FR"/>
        </w:rPr>
        <w:t xml:space="preserve">: </w:t>
      </w:r>
    </w:p>
    <w:p w14:paraId="1752601F" w14:textId="77777777" w:rsidR="006C52AA" w:rsidRPr="0075133B" w:rsidRDefault="006C52AA" w:rsidP="006C52AA">
      <w:pPr>
        <w:numPr>
          <w:ilvl w:val="0"/>
          <w:numId w:val="46"/>
        </w:numPr>
        <w:autoSpaceDE w:val="0"/>
        <w:autoSpaceDN w:val="0"/>
        <w:adjustRightInd w:val="0"/>
        <w:rPr>
          <w:szCs w:val="22"/>
          <w:lang w:val="fr-BE" w:eastAsia="fr-FR"/>
        </w:rPr>
      </w:pPr>
      <w:r w:rsidRPr="0075133B">
        <w:rPr>
          <w:szCs w:val="22"/>
          <w:lang w:val="fr-BE"/>
        </w:rPr>
        <w:t xml:space="preserve">Renforcer </w:t>
      </w:r>
      <w:r w:rsidRPr="0075133B">
        <w:rPr>
          <w:b/>
          <w:szCs w:val="22"/>
          <w:lang w:val="fr-BE"/>
        </w:rPr>
        <w:t>la création de valeur économique locale et l’emploi des jeunes au niveau des territoires</w:t>
      </w:r>
      <w:r w:rsidRPr="00344F2D">
        <w:rPr>
          <w:szCs w:val="22"/>
        </w:rPr>
        <w:t>.</w:t>
      </w:r>
    </w:p>
    <w:p w14:paraId="4E3E4D91" w14:textId="4085A8FF" w:rsidR="006C52AA" w:rsidRPr="0075133B" w:rsidRDefault="006C52AA" w:rsidP="006C52AA">
      <w:pPr>
        <w:numPr>
          <w:ilvl w:val="0"/>
          <w:numId w:val="46"/>
        </w:numPr>
        <w:autoSpaceDE w:val="0"/>
        <w:autoSpaceDN w:val="0"/>
        <w:adjustRightInd w:val="0"/>
        <w:rPr>
          <w:szCs w:val="22"/>
          <w:lang w:val="fr-BE" w:eastAsia="fr-FR"/>
        </w:rPr>
      </w:pPr>
      <w:r w:rsidRPr="0075133B">
        <w:rPr>
          <w:bCs/>
          <w:szCs w:val="22"/>
          <w:lang w:val="fr-BE" w:eastAsia="fr-FR"/>
        </w:rPr>
        <w:t xml:space="preserve">Soutenir </w:t>
      </w:r>
      <w:r w:rsidRPr="0075133B">
        <w:rPr>
          <w:b/>
          <w:bCs/>
          <w:szCs w:val="22"/>
          <w:lang w:val="fr-BE" w:eastAsia="fr-FR"/>
        </w:rPr>
        <w:t>la structuration</w:t>
      </w:r>
      <w:r w:rsidR="009F2AE3" w:rsidRPr="0075133B">
        <w:rPr>
          <w:b/>
          <w:bCs/>
          <w:szCs w:val="22"/>
          <w:lang w:val="fr-BE" w:eastAsia="fr-FR"/>
        </w:rPr>
        <w:t xml:space="preserve"> et la création d’alliance</w:t>
      </w:r>
      <w:r w:rsidR="00FD4C97" w:rsidRPr="0075133B">
        <w:rPr>
          <w:b/>
          <w:bCs/>
          <w:szCs w:val="22"/>
          <w:lang w:val="fr-BE" w:eastAsia="fr-FR"/>
        </w:rPr>
        <w:t xml:space="preserve">s et </w:t>
      </w:r>
      <w:r w:rsidR="009F2AE3" w:rsidRPr="0075133B">
        <w:rPr>
          <w:b/>
          <w:bCs/>
          <w:szCs w:val="22"/>
          <w:lang w:val="fr-BE" w:eastAsia="fr-FR"/>
        </w:rPr>
        <w:t>collaboration</w:t>
      </w:r>
      <w:r w:rsidR="00FD4C97" w:rsidRPr="0075133B">
        <w:rPr>
          <w:b/>
          <w:bCs/>
          <w:szCs w:val="22"/>
          <w:lang w:val="fr-BE" w:eastAsia="fr-FR"/>
        </w:rPr>
        <w:t>s</w:t>
      </w:r>
      <w:r w:rsidRPr="0075133B">
        <w:rPr>
          <w:b/>
          <w:bCs/>
          <w:szCs w:val="22"/>
          <w:lang w:val="fr-BE" w:eastAsia="fr-FR"/>
        </w:rPr>
        <w:t xml:space="preserve"> des jeunes acteurs de l’économie locale</w:t>
      </w:r>
      <w:r w:rsidRPr="0075133B">
        <w:rPr>
          <w:bCs/>
          <w:szCs w:val="22"/>
          <w:lang w:val="fr-BE" w:eastAsia="fr-FR"/>
        </w:rPr>
        <w:t xml:space="preserve"> </w:t>
      </w:r>
      <w:r w:rsidRPr="0075133B">
        <w:rPr>
          <w:szCs w:val="22"/>
          <w:lang w:val="fr-BE" w:eastAsia="fr-FR"/>
        </w:rPr>
        <w:t>pour leur permettre d’accéder à davantage d’opportunités de création de richesse</w:t>
      </w:r>
      <w:r w:rsidR="00F66B95" w:rsidRPr="0075133B">
        <w:rPr>
          <w:szCs w:val="22"/>
          <w:lang w:val="fr-BE" w:eastAsia="fr-FR"/>
        </w:rPr>
        <w:t>s</w:t>
      </w:r>
      <w:r w:rsidRPr="0075133B">
        <w:rPr>
          <w:szCs w:val="22"/>
          <w:lang w:val="fr-BE" w:eastAsia="fr-FR"/>
        </w:rPr>
        <w:t xml:space="preserve"> </w:t>
      </w:r>
      <w:r w:rsidR="00F66B95" w:rsidRPr="0075133B">
        <w:rPr>
          <w:szCs w:val="22"/>
          <w:lang w:val="fr-BE" w:eastAsia="fr-FR"/>
        </w:rPr>
        <w:t>basées sur l</w:t>
      </w:r>
      <w:r w:rsidRPr="0075133B">
        <w:rPr>
          <w:szCs w:val="22"/>
          <w:lang w:val="fr-BE" w:eastAsia="fr-FR"/>
        </w:rPr>
        <w:t xml:space="preserve">e développement endogène : apprentissage, </w:t>
      </w:r>
      <w:r w:rsidR="00FE6728" w:rsidRPr="0075133B">
        <w:rPr>
          <w:szCs w:val="22"/>
          <w:lang w:val="fr-BE" w:eastAsia="fr-FR"/>
        </w:rPr>
        <w:t>entrepreneuriat</w:t>
      </w:r>
      <w:r w:rsidRPr="0075133B">
        <w:rPr>
          <w:szCs w:val="22"/>
          <w:lang w:val="fr-BE" w:eastAsia="fr-FR"/>
        </w:rPr>
        <w:t xml:space="preserve">, développement de chaines de valeurs </w:t>
      </w:r>
      <w:r w:rsidRPr="0075133B">
        <w:rPr>
          <w:szCs w:val="22"/>
          <w:lang w:val="fr-BE"/>
        </w:rPr>
        <w:t xml:space="preserve">dans les secteurs </w:t>
      </w:r>
      <w:r w:rsidR="009D46D5" w:rsidRPr="0075133B">
        <w:rPr>
          <w:szCs w:val="22"/>
          <w:lang w:val="fr-BE"/>
        </w:rPr>
        <w:t xml:space="preserve">Agricoles </w:t>
      </w:r>
      <w:r w:rsidR="0017717E" w:rsidRPr="0075133B">
        <w:rPr>
          <w:szCs w:val="22"/>
          <w:lang w:val="fr-BE"/>
        </w:rPr>
        <w:t>(</w:t>
      </w:r>
      <w:r w:rsidR="005C2616" w:rsidRPr="0075133B">
        <w:rPr>
          <w:szCs w:val="22"/>
          <w:lang w:val="fr-BE" w:eastAsia="fr-FR"/>
        </w:rPr>
        <w:t>p</w:t>
      </w:r>
      <w:r w:rsidRPr="0075133B">
        <w:rPr>
          <w:szCs w:val="22"/>
          <w:lang w:val="fr-BE" w:eastAsia="fr-FR"/>
        </w:rPr>
        <w:t>roduction, transformation, distribution, commercialisation…)</w:t>
      </w:r>
    </w:p>
    <w:p w14:paraId="47329861" w14:textId="77777777" w:rsidR="00574BDC" w:rsidRPr="0075133B" w:rsidRDefault="00574BDC" w:rsidP="00575041">
      <w:pPr>
        <w:pStyle w:val="ListParagraph"/>
        <w:numPr>
          <w:ilvl w:val="0"/>
          <w:numId w:val="46"/>
        </w:numPr>
        <w:autoSpaceDE w:val="0"/>
        <w:autoSpaceDN w:val="0"/>
        <w:adjustRightInd w:val="0"/>
        <w:rPr>
          <w:szCs w:val="22"/>
          <w:lang w:val="fr-BE"/>
        </w:rPr>
      </w:pPr>
      <w:r w:rsidRPr="0075133B">
        <w:rPr>
          <w:szCs w:val="22"/>
          <w:lang w:val="fr-BE"/>
        </w:rPr>
        <w:t xml:space="preserve">Les actions doivent </w:t>
      </w:r>
      <w:r w:rsidR="00F66B95" w:rsidRPr="0075133B">
        <w:rPr>
          <w:szCs w:val="22"/>
          <w:lang w:val="fr-BE"/>
        </w:rPr>
        <w:t xml:space="preserve">être </w:t>
      </w:r>
      <w:r w:rsidRPr="0075133B">
        <w:rPr>
          <w:szCs w:val="22"/>
          <w:lang w:val="fr-BE"/>
        </w:rPr>
        <w:t xml:space="preserve">complémentaires et articulées aux différentes initiatives soutenues dans le cadre de l’appui au secteur privé, </w:t>
      </w:r>
      <w:r w:rsidR="009D302C" w:rsidRPr="0075133B">
        <w:rPr>
          <w:szCs w:val="22"/>
          <w:lang w:val="fr-BE"/>
        </w:rPr>
        <w:t>« </w:t>
      </w:r>
      <w:r w:rsidR="00F66B95" w:rsidRPr="0075133B">
        <w:rPr>
          <w:szCs w:val="22"/>
          <w:lang w:val="fr-BE"/>
        </w:rPr>
        <w:t>de</w:t>
      </w:r>
      <w:r w:rsidR="00193266" w:rsidRPr="0075133B">
        <w:rPr>
          <w:szCs w:val="22"/>
          <w:lang w:val="fr-BE"/>
        </w:rPr>
        <w:t xml:space="preserve"> l’initiative </w:t>
      </w:r>
      <w:r w:rsidRPr="0075133B">
        <w:rPr>
          <w:i/>
          <w:szCs w:val="22"/>
          <w:lang w:val="fr-BE"/>
        </w:rPr>
        <w:t>Investing in Young Business</w:t>
      </w:r>
      <w:r w:rsidR="00193266" w:rsidRPr="0075133B">
        <w:rPr>
          <w:i/>
          <w:szCs w:val="22"/>
          <w:lang w:val="fr-BE"/>
        </w:rPr>
        <w:t>es</w:t>
      </w:r>
      <w:r w:rsidRPr="0075133B">
        <w:rPr>
          <w:i/>
          <w:szCs w:val="22"/>
          <w:lang w:val="fr-BE"/>
        </w:rPr>
        <w:t xml:space="preserve"> in Africa </w:t>
      </w:r>
      <w:r w:rsidRPr="0075133B">
        <w:rPr>
          <w:szCs w:val="22"/>
          <w:lang w:val="fr-BE"/>
        </w:rPr>
        <w:t>(IYBA)</w:t>
      </w:r>
      <w:r w:rsidR="009D302C" w:rsidRPr="0075133B">
        <w:rPr>
          <w:szCs w:val="22"/>
          <w:lang w:val="fr-BE"/>
        </w:rPr>
        <w:t> »</w:t>
      </w:r>
      <w:r w:rsidR="009F2AE3" w:rsidRPr="0075133B">
        <w:rPr>
          <w:szCs w:val="22"/>
          <w:lang w:val="fr-BE"/>
        </w:rPr>
        <w:t xml:space="preserve"> et</w:t>
      </w:r>
      <w:r w:rsidR="00DA4621" w:rsidRPr="0075133B">
        <w:rPr>
          <w:szCs w:val="22"/>
          <w:lang w:val="fr-BE"/>
        </w:rPr>
        <w:t xml:space="preserve"> </w:t>
      </w:r>
      <w:r w:rsidR="00F66B95" w:rsidRPr="0075133B">
        <w:rPr>
          <w:szCs w:val="22"/>
          <w:lang w:val="fr-BE"/>
        </w:rPr>
        <w:t>d’</w:t>
      </w:r>
      <w:r w:rsidR="00DA4621" w:rsidRPr="0075133B">
        <w:rPr>
          <w:szCs w:val="22"/>
          <w:lang w:val="fr-BE"/>
        </w:rPr>
        <w:t>autres actions soutenues par la Team Europe.</w:t>
      </w:r>
      <w:r w:rsidRPr="0075133B">
        <w:rPr>
          <w:szCs w:val="22"/>
          <w:lang w:val="fr-BE"/>
        </w:rPr>
        <w:t xml:space="preserve"> </w:t>
      </w:r>
    </w:p>
    <w:p w14:paraId="7B0C9FDF" w14:textId="77777777" w:rsidR="00574BDC" w:rsidRPr="0075133B" w:rsidRDefault="00400CB8" w:rsidP="00916F38">
      <w:pPr>
        <w:autoSpaceDE w:val="0"/>
        <w:autoSpaceDN w:val="0"/>
        <w:adjustRightInd w:val="0"/>
        <w:ind w:left="360"/>
        <w:rPr>
          <w:szCs w:val="22"/>
          <w:lang w:val="fr-BE" w:eastAsia="fr-FR"/>
        </w:rPr>
      </w:pPr>
      <w:r w:rsidRPr="0075133B">
        <w:rPr>
          <w:szCs w:val="22"/>
          <w:lang w:val="fr-BE" w:eastAsia="fr-FR"/>
        </w:rPr>
        <w:t>Concernant cet objectif, les propositions d’action doivent notamment intégrer (i) la sélection de projets portés par de jeunes entrepreneurs</w:t>
      </w:r>
      <w:r w:rsidR="00F25BB5" w:rsidRPr="0075133B">
        <w:rPr>
          <w:szCs w:val="22"/>
          <w:lang w:val="fr-BE" w:eastAsia="fr-FR"/>
        </w:rPr>
        <w:t xml:space="preserve"> et entrepreneures</w:t>
      </w:r>
      <w:r w:rsidRPr="0075133B">
        <w:rPr>
          <w:szCs w:val="22"/>
          <w:lang w:val="fr-BE" w:eastAsia="fr-FR"/>
        </w:rPr>
        <w:t>, (ii) le renforcement des capacités des porteurs de projets, (iii) l’appui à la maturation des projets incluant l’élaboration de plans d'affaires et (iv) l’appui à la mise en œuvre des projets et leur suivi.</w:t>
      </w:r>
    </w:p>
    <w:p w14:paraId="2E5E17A9" w14:textId="77777777" w:rsidR="00035329" w:rsidRPr="0075133B" w:rsidRDefault="0057228A" w:rsidP="00035329">
      <w:pPr>
        <w:spacing w:after="0"/>
        <w:rPr>
          <w:b/>
          <w:szCs w:val="22"/>
          <w:lang w:val="fr-BE"/>
        </w:rPr>
      </w:pPr>
      <w:r w:rsidRPr="0075133B">
        <w:rPr>
          <w:b/>
          <w:szCs w:val="22"/>
        </w:rPr>
        <w:t xml:space="preserve"> </w:t>
      </w:r>
      <w:r w:rsidR="00D9700E" w:rsidRPr="0075133B">
        <w:rPr>
          <w:b/>
          <w:szCs w:val="22"/>
          <w:lang w:val="fr-BE"/>
        </w:rPr>
        <w:t>Pour l’objectif spécifique 2</w:t>
      </w:r>
      <w:r w:rsidR="005C2616" w:rsidRPr="0075133B">
        <w:rPr>
          <w:b/>
          <w:szCs w:val="22"/>
          <w:lang w:val="fr-BE"/>
        </w:rPr>
        <w:t xml:space="preserve"> (lot 2) :</w:t>
      </w:r>
    </w:p>
    <w:p w14:paraId="6ABE8CBA" w14:textId="77777777" w:rsidR="00574BDC" w:rsidRPr="0075133B" w:rsidRDefault="00574BDC" w:rsidP="00035329">
      <w:pPr>
        <w:spacing w:after="0"/>
        <w:rPr>
          <w:b/>
          <w:szCs w:val="22"/>
          <w:lang w:val="fr-BE"/>
        </w:rPr>
      </w:pPr>
    </w:p>
    <w:p w14:paraId="2B29AFB6" w14:textId="11508EBC" w:rsidR="008239BB" w:rsidRPr="0075133B" w:rsidRDefault="00D50C50" w:rsidP="008239BB">
      <w:pPr>
        <w:numPr>
          <w:ilvl w:val="0"/>
          <w:numId w:val="49"/>
        </w:numPr>
        <w:spacing w:after="0"/>
        <w:rPr>
          <w:szCs w:val="22"/>
          <w:lang w:val="fr-BE"/>
        </w:rPr>
      </w:pPr>
      <w:r w:rsidRPr="0075133B">
        <w:rPr>
          <w:b/>
          <w:szCs w:val="22"/>
        </w:rPr>
        <w:t>Soutenir</w:t>
      </w:r>
      <w:r w:rsidR="00525A16" w:rsidRPr="0075133B">
        <w:rPr>
          <w:b/>
          <w:szCs w:val="22"/>
        </w:rPr>
        <w:t xml:space="preserve"> le</w:t>
      </w:r>
      <w:r w:rsidR="006C52AA" w:rsidRPr="0075133B">
        <w:rPr>
          <w:b/>
          <w:szCs w:val="22"/>
        </w:rPr>
        <w:t xml:space="preserve"> renforcement de la citoyenneté active</w:t>
      </w:r>
      <w:r w:rsidR="006C52AA" w:rsidRPr="0075133B">
        <w:rPr>
          <w:szCs w:val="22"/>
        </w:rPr>
        <w:t xml:space="preserve"> des jeunes ainsi que des actions de promotion du volontariat des jeunes au service de la communauté</w:t>
      </w:r>
    </w:p>
    <w:p w14:paraId="7946A16B" w14:textId="77777777" w:rsidR="00F25BB5" w:rsidRPr="0075133B" w:rsidRDefault="00F25BB5" w:rsidP="008239BB">
      <w:pPr>
        <w:numPr>
          <w:ilvl w:val="0"/>
          <w:numId w:val="49"/>
        </w:numPr>
        <w:spacing w:after="0"/>
        <w:rPr>
          <w:szCs w:val="22"/>
          <w:lang w:val="fr-BE"/>
        </w:rPr>
      </w:pPr>
      <w:r w:rsidRPr="0075133B">
        <w:rPr>
          <w:b/>
          <w:szCs w:val="22"/>
        </w:rPr>
        <w:t>Renforcer le leadership</w:t>
      </w:r>
      <w:r w:rsidRPr="0075133B">
        <w:rPr>
          <w:szCs w:val="22"/>
        </w:rPr>
        <w:t xml:space="preserve"> féminin et des jeunes</w:t>
      </w:r>
    </w:p>
    <w:p w14:paraId="25AB90F1" w14:textId="77777777" w:rsidR="006C52AA" w:rsidRPr="0075133B" w:rsidRDefault="006C52AA" w:rsidP="00EB6A2D">
      <w:pPr>
        <w:numPr>
          <w:ilvl w:val="0"/>
          <w:numId w:val="49"/>
        </w:numPr>
        <w:spacing w:after="0"/>
        <w:rPr>
          <w:szCs w:val="22"/>
          <w:lang w:val="fr-BE"/>
        </w:rPr>
      </w:pPr>
      <w:r w:rsidRPr="0075133B">
        <w:rPr>
          <w:b/>
          <w:szCs w:val="22"/>
          <w:lang w:val="fr-BE"/>
        </w:rPr>
        <w:t xml:space="preserve">Renforcer </w:t>
      </w:r>
      <w:r w:rsidRPr="0075133B">
        <w:rPr>
          <w:szCs w:val="22"/>
          <w:lang w:val="fr-BE"/>
        </w:rPr>
        <w:t xml:space="preserve">l’accès de la jeunesse </w:t>
      </w:r>
      <w:r w:rsidR="00EB6A2D" w:rsidRPr="0075133B">
        <w:rPr>
          <w:szCs w:val="22"/>
          <w:lang w:val="fr-BE"/>
        </w:rPr>
        <w:t>aux instances politiques de représentation et/ou exécutives, ainsi qu’</w:t>
      </w:r>
      <w:r w:rsidRPr="0075133B">
        <w:rPr>
          <w:szCs w:val="22"/>
          <w:lang w:val="fr-BE"/>
        </w:rPr>
        <w:t xml:space="preserve">aux espaces d’animation socio-éducative, sportive, culturelle, citoyenne et numérique… </w:t>
      </w:r>
    </w:p>
    <w:p w14:paraId="41E425D2" w14:textId="77777777" w:rsidR="005C2616" w:rsidRPr="0075133B" w:rsidRDefault="005C2616" w:rsidP="005C2616">
      <w:pPr>
        <w:numPr>
          <w:ilvl w:val="0"/>
          <w:numId w:val="49"/>
        </w:numPr>
        <w:spacing w:after="0"/>
        <w:rPr>
          <w:szCs w:val="22"/>
          <w:lang w:val="fr-BE"/>
        </w:rPr>
      </w:pPr>
      <w:r w:rsidRPr="0075133B">
        <w:rPr>
          <w:b/>
          <w:szCs w:val="22"/>
          <w:lang w:val="fr-BE"/>
        </w:rPr>
        <w:lastRenderedPageBreak/>
        <w:t>Développer</w:t>
      </w:r>
      <w:r w:rsidRPr="0075133B">
        <w:rPr>
          <w:szCs w:val="22"/>
          <w:lang w:val="fr-BE"/>
        </w:rPr>
        <w:t xml:space="preserve"> les valeurs citoyennes et de respect de l’environnement au sein de la jeunesse</w:t>
      </w:r>
    </w:p>
    <w:p w14:paraId="688BD2F0" w14:textId="14F1E36F" w:rsidR="006C52AA" w:rsidRPr="0075133B" w:rsidRDefault="00525A16" w:rsidP="006C52AA">
      <w:pPr>
        <w:pStyle w:val="ListParagraph"/>
        <w:numPr>
          <w:ilvl w:val="0"/>
          <w:numId w:val="49"/>
        </w:numPr>
        <w:spacing w:after="0"/>
        <w:rPr>
          <w:szCs w:val="22"/>
          <w:lang w:val="fr-BE"/>
        </w:rPr>
      </w:pPr>
      <w:r w:rsidRPr="0075133B">
        <w:rPr>
          <w:b/>
          <w:szCs w:val="22"/>
          <w:lang w:val="fr-BE"/>
        </w:rPr>
        <w:t>Soutenir</w:t>
      </w:r>
      <w:r w:rsidR="006C52AA" w:rsidRPr="0075133B">
        <w:rPr>
          <w:b/>
          <w:szCs w:val="22"/>
          <w:lang w:val="fr-BE"/>
        </w:rPr>
        <w:t xml:space="preserve"> l’amélioration des conditions des jeunes filles</w:t>
      </w:r>
      <w:r w:rsidR="00EB6A2D" w:rsidRPr="0075133B">
        <w:rPr>
          <w:b/>
          <w:szCs w:val="22"/>
          <w:lang w:val="fr-BE"/>
        </w:rPr>
        <w:t xml:space="preserve">, </w:t>
      </w:r>
      <w:r w:rsidR="006C52AA" w:rsidRPr="0075133B">
        <w:rPr>
          <w:b/>
          <w:szCs w:val="22"/>
          <w:lang w:val="fr-BE"/>
        </w:rPr>
        <w:t xml:space="preserve">et </w:t>
      </w:r>
      <w:r w:rsidR="00EB6A2D" w:rsidRPr="0075133B">
        <w:rPr>
          <w:b/>
          <w:szCs w:val="22"/>
          <w:lang w:val="fr-BE"/>
        </w:rPr>
        <w:t xml:space="preserve">à la </w:t>
      </w:r>
      <w:r w:rsidR="005C2616" w:rsidRPr="0075133B">
        <w:rPr>
          <w:b/>
          <w:szCs w:val="22"/>
          <w:lang w:val="fr-BE"/>
        </w:rPr>
        <w:t xml:space="preserve">lutte contre </w:t>
      </w:r>
      <w:r w:rsidR="006C52AA" w:rsidRPr="0075133B">
        <w:rPr>
          <w:b/>
          <w:szCs w:val="22"/>
          <w:lang w:val="fr-BE"/>
        </w:rPr>
        <w:t>toute forme de violence</w:t>
      </w:r>
      <w:r w:rsidR="00EB6A2D" w:rsidRPr="0075133B">
        <w:rPr>
          <w:b/>
          <w:szCs w:val="22"/>
          <w:lang w:val="fr-BE"/>
        </w:rPr>
        <w:t xml:space="preserve"> contre les femmes,</w:t>
      </w:r>
      <w:r w:rsidR="006C52AA" w:rsidRPr="0075133B">
        <w:rPr>
          <w:szCs w:val="22"/>
          <w:lang w:val="fr-BE"/>
        </w:rPr>
        <w:t xml:space="preserve"> permettant de soutenir des initiatives/mesures de renforcement, de l’exercice et de protection de leurs droits.</w:t>
      </w:r>
    </w:p>
    <w:p w14:paraId="57281F5F" w14:textId="2425B868" w:rsidR="006C52AA" w:rsidRPr="0075133B" w:rsidRDefault="006C52AA" w:rsidP="006C52AA">
      <w:pPr>
        <w:pStyle w:val="ListParagraph"/>
        <w:numPr>
          <w:ilvl w:val="0"/>
          <w:numId w:val="49"/>
        </w:numPr>
        <w:spacing w:after="0"/>
        <w:rPr>
          <w:szCs w:val="22"/>
          <w:lang w:val="fr-BE"/>
        </w:rPr>
      </w:pPr>
      <w:r w:rsidRPr="00344F2D">
        <w:rPr>
          <w:b/>
          <w:bCs/>
          <w:szCs w:val="22"/>
        </w:rPr>
        <w:t>Renforcer les capacités de</w:t>
      </w:r>
      <w:r w:rsidR="003A6B29" w:rsidRPr="00344F2D">
        <w:rPr>
          <w:b/>
          <w:bCs/>
          <w:szCs w:val="22"/>
        </w:rPr>
        <w:t xml:space="preserve">s organisations de </w:t>
      </w:r>
      <w:r w:rsidRPr="00AB1565">
        <w:rPr>
          <w:b/>
          <w:bCs/>
          <w:szCs w:val="22"/>
        </w:rPr>
        <w:t>jeunes à utiliser la tec</w:t>
      </w:r>
      <w:r w:rsidRPr="005E06CB">
        <w:rPr>
          <w:b/>
          <w:bCs/>
          <w:szCs w:val="22"/>
        </w:rPr>
        <w:t>hnologie numérique</w:t>
      </w:r>
      <w:r w:rsidRPr="005E06CB">
        <w:rPr>
          <w:b/>
          <w:szCs w:val="22"/>
          <w:lang w:val="fr-SN"/>
        </w:rPr>
        <w:t xml:space="preserve"> </w:t>
      </w:r>
      <w:r w:rsidRPr="0075133B">
        <w:rPr>
          <w:b/>
          <w:bCs/>
          <w:szCs w:val="22"/>
        </w:rPr>
        <w:t>« civic tech »</w:t>
      </w:r>
      <w:r w:rsidRPr="005E06CB">
        <w:rPr>
          <w:szCs w:val="22"/>
          <w:lang w:val="fr-SN"/>
        </w:rPr>
        <w:t xml:space="preserve"> </w:t>
      </w:r>
      <w:r w:rsidRPr="0075133B">
        <w:rPr>
          <w:szCs w:val="22"/>
        </w:rPr>
        <w:t xml:space="preserve">permettant de discuter, fédérer et engager davantage la responsabilité des jeunes dans l'espace public et de favoriser les échanges / dialogues sur des préoccupations et des actions prioritaires de la jeunesse </w:t>
      </w:r>
      <w:r w:rsidR="00DA4621" w:rsidRPr="00344F2D">
        <w:rPr>
          <w:szCs w:val="22"/>
        </w:rPr>
        <w:t>p</w:t>
      </w:r>
      <w:r w:rsidRPr="00344F2D">
        <w:rPr>
          <w:szCs w:val="22"/>
        </w:rPr>
        <w:t>our relever</w:t>
      </w:r>
      <w:r w:rsidRPr="00AB1565">
        <w:rPr>
          <w:szCs w:val="22"/>
        </w:rPr>
        <w:t xml:space="preserve"> les défis de transformation </w:t>
      </w:r>
      <w:r w:rsidR="00F25BB5" w:rsidRPr="005E06CB">
        <w:rPr>
          <w:szCs w:val="22"/>
        </w:rPr>
        <w:t>sociale et/ou économique </w:t>
      </w:r>
      <w:r w:rsidRPr="005E06CB">
        <w:rPr>
          <w:szCs w:val="22"/>
        </w:rPr>
        <w:t>;</w:t>
      </w:r>
    </w:p>
    <w:p w14:paraId="394865B7" w14:textId="77777777" w:rsidR="008239BB" w:rsidRPr="0075133B" w:rsidRDefault="008239BB" w:rsidP="008239BB">
      <w:pPr>
        <w:spacing w:after="0"/>
        <w:ind w:left="720"/>
        <w:rPr>
          <w:szCs w:val="22"/>
          <w:lang w:val="fr-BE"/>
        </w:rPr>
      </w:pPr>
    </w:p>
    <w:p w14:paraId="2972EE08" w14:textId="77777777" w:rsidR="008239BB" w:rsidRPr="00344F2D" w:rsidRDefault="008239BB" w:rsidP="006C52AA">
      <w:pPr>
        <w:spacing w:after="0"/>
        <w:rPr>
          <w:b/>
          <w:i/>
          <w:szCs w:val="22"/>
          <w:u w:val="single"/>
          <w:lang w:val="fr-BE"/>
        </w:rPr>
      </w:pPr>
      <w:r w:rsidRPr="0075133B">
        <w:rPr>
          <w:b/>
          <w:i/>
          <w:szCs w:val="22"/>
          <w:u w:val="single"/>
        </w:rPr>
        <w:t>L’action proposée dans le cadre de ce lot</w:t>
      </w:r>
      <w:r w:rsidRPr="00344F2D">
        <w:rPr>
          <w:b/>
          <w:i/>
          <w:szCs w:val="22"/>
          <w:u w:val="single"/>
        </w:rPr>
        <w:t xml:space="preserve"> </w:t>
      </w:r>
      <w:r w:rsidR="006C52AA" w:rsidRPr="00344F2D">
        <w:rPr>
          <w:b/>
          <w:i/>
          <w:szCs w:val="22"/>
          <w:u w:val="single"/>
        </w:rPr>
        <w:t xml:space="preserve">2 </w:t>
      </w:r>
      <w:r w:rsidRPr="00AB1565">
        <w:rPr>
          <w:b/>
          <w:i/>
          <w:szCs w:val="22"/>
          <w:u w:val="single"/>
        </w:rPr>
        <w:t>devra couv</w:t>
      </w:r>
      <w:r w:rsidR="006A42A3" w:rsidRPr="005E06CB">
        <w:rPr>
          <w:b/>
          <w:i/>
          <w:szCs w:val="22"/>
          <w:u w:val="single"/>
        </w:rPr>
        <w:t>rir</w:t>
      </w:r>
      <w:r w:rsidRPr="005E06CB">
        <w:rPr>
          <w:b/>
          <w:i/>
          <w:szCs w:val="22"/>
          <w:u w:val="single"/>
        </w:rPr>
        <w:t xml:space="preserve"> les</w:t>
      </w:r>
      <w:r w:rsidR="004D4F6C" w:rsidRPr="0075133B">
        <w:rPr>
          <w:b/>
          <w:i/>
          <w:szCs w:val="22"/>
          <w:u w:val="single"/>
        </w:rPr>
        <w:t xml:space="preserve"> </w:t>
      </w:r>
      <w:r w:rsidR="006A42A3" w:rsidRPr="00344F2D">
        <w:rPr>
          <w:b/>
          <w:i/>
          <w:szCs w:val="22"/>
          <w:u w:val="single"/>
        </w:rPr>
        <w:t>axes</w:t>
      </w:r>
      <w:r w:rsidR="006C52AA" w:rsidRPr="0075133B">
        <w:rPr>
          <w:b/>
          <w:i/>
          <w:szCs w:val="22"/>
          <w:u w:val="single"/>
        </w:rPr>
        <w:t xml:space="preserve"> </w:t>
      </w:r>
      <w:r w:rsidR="006A42A3" w:rsidRPr="0075133B">
        <w:rPr>
          <w:b/>
          <w:i/>
          <w:szCs w:val="22"/>
          <w:u w:val="single"/>
        </w:rPr>
        <w:t>ci-dess</w:t>
      </w:r>
      <w:r w:rsidRPr="0075133B">
        <w:rPr>
          <w:b/>
          <w:i/>
          <w:szCs w:val="22"/>
          <w:u w:val="single"/>
        </w:rPr>
        <w:t>us cité</w:t>
      </w:r>
      <w:r w:rsidR="006A42A3" w:rsidRPr="0075133B">
        <w:rPr>
          <w:b/>
          <w:i/>
          <w:szCs w:val="22"/>
          <w:u w:val="single"/>
        </w:rPr>
        <w:t>s</w:t>
      </w:r>
      <w:r w:rsidR="006C52AA" w:rsidRPr="0075133B">
        <w:rPr>
          <w:b/>
          <w:i/>
          <w:szCs w:val="22"/>
          <w:u w:val="single"/>
        </w:rPr>
        <w:t xml:space="preserve"> et devra être portée par une </w:t>
      </w:r>
      <w:r w:rsidR="006C52AA" w:rsidRPr="0075133B">
        <w:rPr>
          <w:b/>
          <w:i/>
          <w:szCs w:val="22"/>
          <w:u w:val="single"/>
          <w:lang w:val="fr-BE"/>
        </w:rPr>
        <w:t xml:space="preserve">plateforme </w:t>
      </w:r>
      <w:r w:rsidR="002A003B" w:rsidRPr="0075133B">
        <w:rPr>
          <w:b/>
          <w:i/>
          <w:szCs w:val="22"/>
          <w:u w:val="single"/>
          <w:lang w:val="fr-BE"/>
        </w:rPr>
        <w:t xml:space="preserve">ou </w:t>
      </w:r>
      <w:r w:rsidR="00DA4621" w:rsidRPr="0075133B">
        <w:rPr>
          <w:b/>
          <w:i/>
          <w:szCs w:val="22"/>
          <w:u w:val="single"/>
          <w:lang w:val="fr-BE"/>
        </w:rPr>
        <w:t>un consortium</w:t>
      </w:r>
      <w:r w:rsidR="006C52AA" w:rsidRPr="0075133B">
        <w:rPr>
          <w:b/>
          <w:i/>
          <w:szCs w:val="22"/>
          <w:u w:val="single"/>
          <w:lang w:val="fr-BE"/>
        </w:rPr>
        <w:t xml:space="preserve"> d’organisations de la société civile</w:t>
      </w:r>
      <w:r w:rsidR="00DA4621" w:rsidRPr="0075133B">
        <w:rPr>
          <w:b/>
          <w:i/>
          <w:szCs w:val="22"/>
          <w:u w:val="single"/>
          <w:lang w:val="fr-BE"/>
        </w:rPr>
        <w:t>.</w:t>
      </w:r>
    </w:p>
    <w:p w14:paraId="39226680" w14:textId="77777777" w:rsidR="008239BB" w:rsidRPr="0075133B" w:rsidRDefault="00035329" w:rsidP="004F7E49">
      <w:pPr>
        <w:spacing w:after="0"/>
        <w:ind w:left="720"/>
        <w:rPr>
          <w:szCs w:val="22"/>
          <w:lang w:val="fr-BE"/>
        </w:rPr>
      </w:pPr>
      <w:r w:rsidRPr="0075133B">
        <w:rPr>
          <w:szCs w:val="22"/>
        </w:rPr>
        <w:t xml:space="preserve"> </w:t>
      </w:r>
    </w:p>
    <w:p w14:paraId="77C2FBD0" w14:textId="77777777" w:rsidR="0007408E" w:rsidRPr="0075133B" w:rsidRDefault="0007408E" w:rsidP="00575041">
      <w:pPr>
        <w:pStyle w:val="Guidelines2"/>
        <w:numPr>
          <w:ilvl w:val="1"/>
          <w:numId w:val="17"/>
        </w:numPr>
        <w:rPr>
          <w:rFonts w:ascii="Times New Roman" w:hAnsi="Times New Roman"/>
          <w:sz w:val="22"/>
          <w:szCs w:val="22"/>
        </w:rPr>
      </w:pPr>
      <w:bookmarkStart w:id="10" w:name="_Toc74830946"/>
      <w:bookmarkStart w:id="11" w:name="_Toc179890126"/>
      <w:bookmarkStart w:id="12" w:name="_Toc182404626"/>
      <w:r w:rsidRPr="0075133B">
        <w:rPr>
          <w:rFonts w:ascii="Times New Roman" w:hAnsi="Times New Roman"/>
          <w:sz w:val="22"/>
          <w:szCs w:val="22"/>
        </w:rPr>
        <w:t>Montant de l’enveloppe financière mise à disposition par l’administration contractante</w:t>
      </w:r>
      <w:bookmarkEnd w:id="10"/>
      <w:bookmarkEnd w:id="11"/>
      <w:bookmarkEnd w:id="12"/>
    </w:p>
    <w:p w14:paraId="0E434710" w14:textId="77777777" w:rsidR="0007408E" w:rsidRPr="0075133B" w:rsidRDefault="0007408E" w:rsidP="00BD6FF1">
      <w:pPr>
        <w:rPr>
          <w:szCs w:val="22"/>
        </w:rPr>
      </w:pPr>
      <w:r w:rsidRPr="0075133B">
        <w:rPr>
          <w:szCs w:val="22"/>
        </w:rPr>
        <w:t xml:space="preserve">Le montant indicatif global mis à disposition au titre du présent appel à propositions s’élève à </w:t>
      </w:r>
      <w:r w:rsidR="00EB6A2D" w:rsidRPr="0075133B">
        <w:rPr>
          <w:szCs w:val="22"/>
        </w:rPr>
        <w:t xml:space="preserve">EUR </w:t>
      </w:r>
      <w:r w:rsidR="000E31CA" w:rsidRPr="0075133B">
        <w:rPr>
          <w:szCs w:val="22"/>
        </w:rPr>
        <w:t>6</w:t>
      </w:r>
      <w:r w:rsidR="00EB6A2D" w:rsidRPr="0075133B">
        <w:rPr>
          <w:szCs w:val="22"/>
        </w:rPr>
        <w:t>.000.000</w:t>
      </w:r>
      <w:r w:rsidRPr="0075133B">
        <w:rPr>
          <w:szCs w:val="22"/>
        </w:rPr>
        <w:t>. L’administration contractante se réserve le droit de ne pas allouer la totalité des fonds disponibles.</w:t>
      </w:r>
    </w:p>
    <w:p w14:paraId="4609E4E3" w14:textId="77777777" w:rsidR="00CC2113" w:rsidRPr="0075133B" w:rsidRDefault="006A42A3" w:rsidP="00CC2113">
      <w:pPr>
        <w:rPr>
          <w:b/>
          <w:szCs w:val="22"/>
          <w:lang w:val="en-GB"/>
        </w:rPr>
      </w:pPr>
      <w:r w:rsidRPr="0075133B">
        <w:rPr>
          <w:b/>
          <w:szCs w:val="22"/>
          <w:lang w:val="en-GB"/>
        </w:rPr>
        <w:t>Envelope</w:t>
      </w:r>
      <w:r w:rsidR="00CC2113" w:rsidRPr="0075133B">
        <w:rPr>
          <w:b/>
          <w:szCs w:val="22"/>
          <w:lang w:val="en-GB"/>
        </w:rPr>
        <w:t xml:space="preserve"> indicative par lot: </w:t>
      </w:r>
    </w:p>
    <w:p w14:paraId="049EBB86" w14:textId="77777777" w:rsidR="00CC2113" w:rsidRPr="0075133B" w:rsidRDefault="009A3278" w:rsidP="00CC2113">
      <w:pPr>
        <w:rPr>
          <w:b/>
          <w:szCs w:val="22"/>
          <w:lang w:val="en-GB"/>
        </w:rPr>
      </w:pPr>
      <w:r w:rsidRPr="0075133B">
        <w:rPr>
          <w:b/>
          <w:szCs w:val="22"/>
          <w:lang w:val="en-GB"/>
        </w:rPr>
        <w:t>Lot 1</w:t>
      </w:r>
      <w:r w:rsidR="00CC2113" w:rsidRPr="0075133B">
        <w:rPr>
          <w:b/>
          <w:szCs w:val="22"/>
          <w:lang w:val="en-GB"/>
        </w:rPr>
        <w:t xml:space="preserve">: </w:t>
      </w:r>
      <w:r w:rsidR="00BC02BC" w:rsidRPr="0075133B">
        <w:rPr>
          <w:b/>
          <w:szCs w:val="22"/>
          <w:lang w:val="en-GB"/>
        </w:rPr>
        <w:t xml:space="preserve">4 </w:t>
      </w:r>
      <w:r w:rsidR="00CA157D" w:rsidRPr="0075133B">
        <w:rPr>
          <w:b/>
          <w:szCs w:val="22"/>
          <w:lang w:val="en-GB"/>
        </w:rPr>
        <w:t>0</w:t>
      </w:r>
      <w:r w:rsidR="00CC2113" w:rsidRPr="0075133B">
        <w:rPr>
          <w:b/>
          <w:szCs w:val="22"/>
          <w:lang w:val="en-GB"/>
        </w:rPr>
        <w:t xml:space="preserve">00 000 € </w:t>
      </w:r>
    </w:p>
    <w:p w14:paraId="588CBC19" w14:textId="77777777" w:rsidR="00CC2113" w:rsidRPr="005E06CB" w:rsidRDefault="00CC2113" w:rsidP="006C52AA">
      <w:pPr>
        <w:jc w:val="left"/>
        <w:rPr>
          <w:b/>
          <w:szCs w:val="22"/>
          <w:lang w:val="fr-BE"/>
        </w:rPr>
      </w:pPr>
      <w:r w:rsidRPr="00344F2D">
        <w:rPr>
          <w:b/>
          <w:szCs w:val="22"/>
          <w:lang w:val="fr-BE"/>
        </w:rPr>
        <w:t xml:space="preserve">Lot 2: </w:t>
      </w:r>
      <w:r w:rsidR="00DD5FD0" w:rsidRPr="00344F2D">
        <w:rPr>
          <w:b/>
          <w:szCs w:val="22"/>
          <w:lang w:val="fr-BE"/>
        </w:rPr>
        <w:t>2 000 000</w:t>
      </w:r>
      <w:r w:rsidR="00CA157D" w:rsidRPr="00AB1565">
        <w:rPr>
          <w:b/>
          <w:szCs w:val="22"/>
          <w:lang w:val="fr-BE"/>
        </w:rPr>
        <w:t xml:space="preserve"> </w:t>
      </w:r>
      <w:r w:rsidRPr="005E06CB">
        <w:rPr>
          <w:b/>
          <w:szCs w:val="22"/>
          <w:lang w:val="fr-BE"/>
        </w:rPr>
        <w:t>€</w:t>
      </w:r>
    </w:p>
    <w:p w14:paraId="02B98FCD" w14:textId="77777777" w:rsidR="00DC12B7" w:rsidRDefault="00DC12B7" w:rsidP="00BD6FF1">
      <w:pPr>
        <w:rPr>
          <w:b/>
          <w:szCs w:val="22"/>
        </w:rPr>
      </w:pPr>
    </w:p>
    <w:p w14:paraId="1C883011" w14:textId="775E9651" w:rsidR="0007408E" w:rsidRPr="0075133B" w:rsidRDefault="00A016F9" w:rsidP="00BD6FF1">
      <w:pPr>
        <w:rPr>
          <w:b/>
          <w:szCs w:val="22"/>
        </w:rPr>
      </w:pPr>
      <w:r w:rsidRPr="0075133B">
        <w:rPr>
          <w:b/>
          <w:szCs w:val="22"/>
        </w:rPr>
        <w:t>Montant des subventions</w:t>
      </w:r>
    </w:p>
    <w:p w14:paraId="2FA8BCC4" w14:textId="77777777" w:rsidR="0007408E" w:rsidRPr="0075133B" w:rsidRDefault="0007408E" w:rsidP="00BD6FF1">
      <w:pPr>
        <w:rPr>
          <w:szCs w:val="22"/>
        </w:rPr>
      </w:pPr>
      <w:r w:rsidRPr="0075133B">
        <w:rPr>
          <w:szCs w:val="22"/>
        </w:rPr>
        <w:t>Toute subvention demandée dans le cadre du présent appel à propositions doit être comprise entre les montants minimum et maximum suivants:</w:t>
      </w:r>
    </w:p>
    <w:p w14:paraId="775E74B4" w14:textId="77777777" w:rsidR="00CC2113" w:rsidRPr="0075133B" w:rsidRDefault="00CC2113" w:rsidP="00CC2113">
      <w:pPr>
        <w:rPr>
          <w:szCs w:val="22"/>
        </w:rPr>
      </w:pPr>
      <w:r w:rsidRPr="0075133B">
        <w:rPr>
          <w:szCs w:val="22"/>
        </w:rPr>
        <w:t xml:space="preserve">Lot 1: </w:t>
      </w:r>
    </w:p>
    <w:p w14:paraId="7DB024DC" w14:textId="5E115B89" w:rsidR="00CC2113" w:rsidRPr="0075133B" w:rsidRDefault="00DC12B7" w:rsidP="00575041">
      <w:pPr>
        <w:numPr>
          <w:ilvl w:val="0"/>
          <w:numId w:val="18"/>
        </w:numPr>
        <w:rPr>
          <w:szCs w:val="22"/>
        </w:rPr>
      </w:pPr>
      <w:r w:rsidRPr="0075133B">
        <w:rPr>
          <w:szCs w:val="22"/>
        </w:rPr>
        <w:t>Montant</w:t>
      </w:r>
      <w:r w:rsidR="00CC2113" w:rsidRPr="0075133B">
        <w:rPr>
          <w:szCs w:val="22"/>
        </w:rPr>
        <w:t xml:space="preserve"> minimum:</w:t>
      </w:r>
      <w:r w:rsidR="00980339" w:rsidRPr="0075133B">
        <w:rPr>
          <w:szCs w:val="22"/>
        </w:rPr>
        <w:t xml:space="preserve"> 9</w:t>
      </w:r>
      <w:r w:rsidR="00EB6A2D" w:rsidRPr="0075133B">
        <w:rPr>
          <w:szCs w:val="22"/>
        </w:rPr>
        <w:t>5</w:t>
      </w:r>
      <w:r w:rsidR="00CC2113" w:rsidRPr="0075133B">
        <w:rPr>
          <w:szCs w:val="22"/>
        </w:rPr>
        <w:t>0 000 EUR</w:t>
      </w:r>
    </w:p>
    <w:p w14:paraId="6982F558" w14:textId="3F245C06" w:rsidR="00CC2113" w:rsidRPr="0075133B" w:rsidRDefault="00DC12B7" w:rsidP="00575041">
      <w:pPr>
        <w:numPr>
          <w:ilvl w:val="0"/>
          <w:numId w:val="18"/>
        </w:numPr>
        <w:rPr>
          <w:szCs w:val="22"/>
        </w:rPr>
      </w:pPr>
      <w:r w:rsidRPr="0075133B">
        <w:rPr>
          <w:szCs w:val="22"/>
        </w:rPr>
        <w:t>Montant</w:t>
      </w:r>
      <w:r w:rsidR="00CC2113" w:rsidRPr="0075133B">
        <w:rPr>
          <w:szCs w:val="22"/>
        </w:rPr>
        <w:t xml:space="preserve"> maximum: </w:t>
      </w:r>
      <w:r w:rsidR="00EB6A2D" w:rsidRPr="0075133B">
        <w:rPr>
          <w:szCs w:val="22"/>
        </w:rPr>
        <w:t>1 0</w:t>
      </w:r>
      <w:r w:rsidR="00CC2113" w:rsidRPr="0075133B">
        <w:rPr>
          <w:szCs w:val="22"/>
        </w:rPr>
        <w:t>00 000 EUR</w:t>
      </w:r>
    </w:p>
    <w:p w14:paraId="4D329DB6" w14:textId="77777777" w:rsidR="00C554EF" w:rsidRDefault="00CC2113" w:rsidP="00CC2113">
      <w:pPr>
        <w:rPr>
          <w:szCs w:val="22"/>
        </w:rPr>
      </w:pPr>
      <w:r w:rsidRPr="0075133B">
        <w:rPr>
          <w:szCs w:val="22"/>
        </w:rPr>
        <w:t xml:space="preserve">Lot 2 :  </w:t>
      </w:r>
    </w:p>
    <w:p w14:paraId="600B20AF" w14:textId="30627BC2" w:rsidR="00CC2113" w:rsidRPr="00C554EF" w:rsidRDefault="00DC12B7" w:rsidP="00C554EF">
      <w:pPr>
        <w:pStyle w:val="ListParagraph"/>
        <w:numPr>
          <w:ilvl w:val="0"/>
          <w:numId w:val="55"/>
        </w:numPr>
        <w:rPr>
          <w:szCs w:val="22"/>
        </w:rPr>
      </w:pPr>
      <w:r w:rsidRPr="00C554EF">
        <w:rPr>
          <w:szCs w:val="22"/>
        </w:rPr>
        <w:t>M</w:t>
      </w:r>
      <w:r w:rsidR="00CC2113" w:rsidRPr="00C554EF">
        <w:rPr>
          <w:szCs w:val="22"/>
        </w:rPr>
        <w:t xml:space="preserve">ontant minimum: </w:t>
      </w:r>
      <w:r w:rsidR="00DD5FD0" w:rsidRPr="00C554EF">
        <w:rPr>
          <w:szCs w:val="22"/>
        </w:rPr>
        <w:t xml:space="preserve"> </w:t>
      </w:r>
      <w:r w:rsidR="004455E3" w:rsidRPr="00C554EF">
        <w:rPr>
          <w:szCs w:val="22"/>
        </w:rPr>
        <w:t xml:space="preserve">1 </w:t>
      </w:r>
      <w:r w:rsidR="00BB0B49" w:rsidRPr="00C554EF">
        <w:rPr>
          <w:szCs w:val="22"/>
        </w:rPr>
        <w:t xml:space="preserve">950 </w:t>
      </w:r>
      <w:r w:rsidR="004455E3" w:rsidRPr="00C554EF">
        <w:rPr>
          <w:szCs w:val="22"/>
        </w:rPr>
        <w:t>000</w:t>
      </w:r>
      <w:r w:rsidR="00DD5FD0" w:rsidRPr="00C554EF">
        <w:rPr>
          <w:szCs w:val="22"/>
        </w:rPr>
        <w:t xml:space="preserve"> </w:t>
      </w:r>
      <w:r w:rsidR="00CC2113" w:rsidRPr="00C554EF">
        <w:rPr>
          <w:szCs w:val="22"/>
        </w:rPr>
        <w:t>EUR</w:t>
      </w:r>
    </w:p>
    <w:p w14:paraId="25F1D31C" w14:textId="3F248E67" w:rsidR="00CC2113" w:rsidRPr="0075133B" w:rsidRDefault="00DC12B7" w:rsidP="00575041">
      <w:pPr>
        <w:numPr>
          <w:ilvl w:val="0"/>
          <w:numId w:val="18"/>
        </w:numPr>
        <w:rPr>
          <w:szCs w:val="22"/>
        </w:rPr>
      </w:pPr>
      <w:r w:rsidRPr="0075133B">
        <w:rPr>
          <w:szCs w:val="22"/>
        </w:rPr>
        <w:t>Montant</w:t>
      </w:r>
      <w:r w:rsidR="00CC2113" w:rsidRPr="0075133B">
        <w:rPr>
          <w:szCs w:val="22"/>
        </w:rPr>
        <w:t xml:space="preserve"> maximum: </w:t>
      </w:r>
      <w:r w:rsidR="000E31CA" w:rsidRPr="0075133B">
        <w:rPr>
          <w:szCs w:val="22"/>
        </w:rPr>
        <w:t>2 000</w:t>
      </w:r>
      <w:r w:rsidR="004455E3" w:rsidRPr="0075133B">
        <w:rPr>
          <w:szCs w:val="22"/>
        </w:rPr>
        <w:t xml:space="preserve"> </w:t>
      </w:r>
      <w:r w:rsidR="00107B30" w:rsidRPr="0075133B">
        <w:rPr>
          <w:szCs w:val="22"/>
        </w:rPr>
        <w:t>000</w:t>
      </w:r>
      <w:r w:rsidR="00CC2113" w:rsidRPr="0075133B">
        <w:rPr>
          <w:szCs w:val="22"/>
        </w:rPr>
        <w:t>EUR</w:t>
      </w:r>
    </w:p>
    <w:p w14:paraId="493CA479" w14:textId="77777777" w:rsidR="00CC2113" w:rsidRPr="0075133B" w:rsidRDefault="00CC2113" w:rsidP="00CC2113">
      <w:pPr>
        <w:rPr>
          <w:szCs w:val="22"/>
        </w:rPr>
      </w:pPr>
      <w:r w:rsidRPr="0075133B">
        <w:rPr>
          <w:szCs w:val="22"/>
        </w:rPr>
        <w:t>Toute subvention demandée dans le cadre du présent appel à propositions doit être comprise entre les pourcentages minimum et maximum suivants du total des coûts éligibles de l’action:</w:t>
      </w:r>
    </w:p>
    <w:p w14:paraId="367EA4DA" w14:textId="77777777" w:rsidR="00CC2113" w:rsidRPr="0075133B" w:rsidRDefault="00CC2113" w:rsidP="00575041">
      <w:pPr>
        <w:numPr>
          <w:ilvl w:val="0"/>
          <w:numId w:val="47"/>
        </w:numPr>
        <w:spacing w:after="0"/>
        <w:jc w:val="left"/>
        <w:rPr>
          <w:snapToGrid w:val="0"/>
          <w:szCs w:val="22"/>
          <w:lang w:val="fr-BE"/>
        </w:rPr>
      </w:pPr>
      <w:r w:rsidRPr="0075133B">
        <w:rPr>
          <w:szCs w:val="22"/>
        </w:rPr>
        <w:t>Pour les demandeurs (</w:t>
      </w:r>
      <w:r w:rsidR="003469BF" w:rsidRPr="0075133B">
        <w:rPr>
          <w:szCs w:val="22"/>
        </w:rPr>
        <w:t xml:space="preserve">demandeurs chef de file, </w:t>
      </w:r>
      <w:r w:rsidRPr="0075133B">
        <w:rPr>
          <w:szCs w:val="22"/>
        </w:rPr>
        <w:t>codemandeurs et ses entités affiliées, le cas échéant)</w:t>
      </w:r>
      <w:r w:rsidR="00141E6C" w:rsidRPr="0075133B">
        <w:rPr>
          <w:szCs w:val="22"/>
        </w:rPr>
        <w:t xml:space="preserve"> qui sont des</w:t>
      </w:r>
      <w:r w:rsidRPr="0075133B">
        <w:rPr>
          <w:szCs w:val="22"/>
        </w:rPr>
        <w:t xml:space="preserve"> organisations locales</w:t>
      </w:r>
    </w:p>
    <w:p w14:paraId="33871271" w14:textId="77777777" w:rsidR="00CC2113" w:rsidRPr="0075133B" w:rsidRDefault="00CC2113" w:rsidP="00CC2113">
      <w:pPr>
        <w:spacing w:after="0"/>
        <w:ind w:left="720"/>
        <w:jc w:val="left"/>
        <w:rPr>
          <w:snapToGrid w:val="0"/>
          <w:szCs w:val="22"/>
          <w:lang w:val="fr-BE"/>
        </w:rPr>
      </w:pPr>
    </w:p>
    <w:p w14:paraId="5FDB4B52" w14:textId="611985FE" w:rsidR="00CC2113" w:rsidRPr="0075133B" w:rsidRDefault="00DC12B7" w:rsidP="00575041">
      <w:pPr>
        <w:pStyle w:val="ListBullet5"/>
        <w:numPr>
          <w:ilvl w:val="0"/>
          <w:numId w:val="13"/>
        </w:numPr>
        <w:tabs>
          <w:tab w:val="clear" w:pos="360"/>
          <w:tab w:val="num" w:pos="1080"/>
        </w:tabs>
        <w:spacing w:after="0"/>
        <w:ind w:left="1080"/>
        <w:rPr>
          <w:szCs w:val="22"/>
          <w:lang w:val="fr-BE" w:eastAsia="en-GB"/>
        </w:rPr>
      </w:pPr>
      <w:r w:rsidRPr="0075133B">
        <w:rPr>
          <w:szCs w:val="22"/>
          <w:lang w:val="fr-BE" w:eastAsia="en-GB"/>
        </w:rPr>
        <w:t>Pourcentage</w:t>
      </w:r>
      <w:r w:rsidR="00CC2113" w:rsidRPr="0075133B">
        <w:rPr>
          <w:szCs w:val="22"/>
          <w:lang w:val="fr-BE" w:eastAsia="en-GB"/>
        </w:rPr>
        <w:t xml:space="preserve"> minimum : 90 % du total des coûts éligibles de l'action</w:t>
      </w:r>
    </w:p>
    <w:p w14:paraId="7AE5738F" w14:textId="41BB51C7" w:rsidR="00CC2113" w:rsidRPr="0075133B" w:rsidRDefault="00DC12B7" w:rsidP="00575041">
      <w:pPr>
        <w:numPr>
          <w:ilvl w:val="0"/>
          <w:numId w:val="19"/>
        </w:numPr>
        <w:ind w:left="1080"/>
        <w:rPr>
          <w:szCs w:val="22"/>
        </w:rPr>
      </w:pPr>
      <w:r w:rsidRPr="0075133B">
        <w:rPr>
          <w:szCs w:val="22"/>
          <w:lang w:val="fr-BE" w:eastAsia="en-GB"/>
        </w:rPr>
        <w:t>Pourcentage</w:t>
      </w:r>
      <w:r>
        <w:rPr>
          <w:szCs w:val="22"/>
          <w:lang w:val="fr-BE" w:eastAsia="en-GB"/>
        </w:rPr>
        <w:t xml:space="preserve"> maximum : 95% </w:t>
      </w:r>
      <w:r w:rsidR="00CC2113" w:rsidRPr="0075133B">
        <w:rPr>
          <w:szCs w:val="22"/>
          <w:lang w:val="fr-BE" w:eastAsia="en-GB"/>
        </w:rPr>
        <w:t xml:space="preserve">du total des coûts éligibles de l'action </w:t>
      </w:r>
      <w:r w:rsidR="00CC2113" w:rsidRPr="0075133B">
        <w:rPr>
          <w:szCs w:val="22"/>
        </w:rPr>
        <w:t xml:space="preserve">(voir également section 2.1.5) </w:t>
      </w:r>
    </w:p>
    <w:p w14:paraId="4F8F2EEF" w14:textId="77777777" w:rsidR="00CC2113" w:rsidRPr="0075133B" w:rsidRDefault="00CC2113" w:rsidP="00575041">
      <w:pPr>
        <w:pStyle w:val="ListParagraph"/>
        <w:numPr>
          <w:ilvl w:val="0"/>
          <w:numId w:val="47"/>
        </w:numPr>
        <w:spacing w:after="0"/>
        <w:jc w:val="left"/>
        <w:rPr>
          <w:szCs w:val="22"/>
          <w:lang w:val="fr-BE" w:eastAsia="en-GB"/>
        </w:rPr>
      </w:pPr>
      <w:r w:rsidRPr="0075133B">
        <w:rPr>
          <w:szCs w:val="22"/>
          <w:lang w:val="fr-BE" w:eastAsia="en-GB"/>
        </w:rPr>
        <w:lastRenderedPageBreak/>
        <w:t xml:space="preserve">Si le demandeur principal est établi dans un pays éligible conformément à l’article 28 du Règlement (UE) 2021/947 du Parlement Européen et du Conseil du 9 juin 2021, autre que le Sénégal: </w:t>
      </w:r>
    </w:p>
    <w:p w14:paraId="43085593" w14:textId="62ED09A1" w:rsidR="00CC2113" w:rsidRPr="0075133B" w:rsidRDefault="00DC12B7" w:rsidP="00575041">
      <w:pPr>
        <w:pStyle w:val="ListBullet5"/>
        <w:numPr>
          <w:ilvl w:val="0"/>
          <w:numId w:val="13"/>
        </w:numPr>
        <w:tabs>
          <w:tab w:val="clear" w:pos="360"/>
          <w:tab w:val="num" w:pos="1080"/>
        </w:tabs>
        <w:spacing w:after="0"/>
        <w:ind w:left="1080"/>
        <w:rPr>
          <w:szCs w:val="22"/>
        </w:rPr>
      </w:pPr>
      <w:r w:rsidRPr="0075133B">
        <w:rPr>
          <w:szCs w:val="22"/>
        </w:rPr>
        <w:t>Pourcentage</w:t>
      </w:r>
      <w:r w:rsidR="00CC2113" w:rsidRPr="0075133B">
        <w:rPr>
          <w:szCs w:val="22"/>
        </w:rPr>
        <w:t xml:space="preserve"> minimum : 50% du total des coûts éligibles de l'action</w:t>
      </w:r>
    </w:p>
    <w:p w14:paraId="31C7BE92" w14:textId="79947562" w:rsidR="00CC2113" w:rsidRPr="0075133B" w:rsidRDefault="00DC12B7" w:rsidP="00575041">
      <w:pPr>
        <w:pStyle w:val="ListBullet5"/>
        <w:numPr>
          <w:ilvl w:val="0"/>
          <w:numId w:val="13"/>
        </w:numPr>
        <w:tabs>
          <w:tab w:val="clear" w:pos="360"/>
          <w:tab w:val="num" w:pos="1080"/>
        </w:tabs>
        <w:spacing w:after="0"/>
        <w:ind w:left="1080"/>
        <w:rPr>
          <w:szCs w:val="22"/>
        </w:rPr>
      </w:pPr>
      <w:r w:rsidRPr="0075133B">
        <w:rPr>
          <w:szCs w:val="22"/>
        </w:rPr>
        <w:t>Pourcentage</w:t>
      </w:r>
      <w:r w:rsidR="00CC2113" w:rsidRPr="0075133B">
        <w:rPr>
          <w:szCs w:val="22"/>
        </w:rPr>
        <w:t xml:space="preserve"> maximum : 80 % du total des coûts éligibles de l'action (voir également section 2.1.5)</w:t>
      </w:r>
    </w:p>
    <w:p w14:paraId="56E6BC88" w14:textId="77777777" w:rsidR="0007408E" w:rsidRPr="0075133B" w:rsidRDefault="00CC2113" w:rsidP="00CC2113">
      <w:pPr>
        <w:spacing w:before="120"/>
        <w:rPr>
          <w:szCs w:val="22"/>
        </w:rPr>
      </w:pPr>
      <w:r w:rsidRPr="0075133B">
        <w:rPr>
          <w:szCs w:val="22"/>
        </w:rPr>
        <w:t xml:space="preserve">Le solde (c’est-à-dire la différence entre le coût total de l’action et le montant demandé à l’administration contractante) doit être financé par des sources autres que le budget de l’Union européenne ou le Fonds européen de développement.  </w:t>
      </w:r>
    </w:p>
    <w:p w14:paraId="6CDB90E9" w14:textId="77777777" w:rsidR="0007408E" w:rsidRPr="005E06CB" w:rsidRDefault="00267E4F" w:rsidP="00E76DF7">
      <w:pPr>
        <w:pStyle w:val="Guidelines1"/>
        <w:rPr>
          <w:rFonts w:ascii="Times New Roman" w:hAnsi="Times New Roman"/>
          <w:szCs w:val="22"/>
        </w:rPr>
      </w:pPr>
      <w:r w:rsidRPr="005E06CB">
        <w:rPr>
          <w:rFonts w:ascii="Times New Roman" w:hAnsi="Times New Roman"/>
          <w:szCs w:val="22"/>
        </w:rPr>
        <w:br w:type="page"/>
      </w:r>
      <w:bookmarkStart w:id="13" w:name="_Toc74830947"/>
      <w:bookmarkStart w:id="14" w:name="_Toc179890127"/>
      <w:bookmarkStart w:id="15" w:name="_Toc182404627"/>
      <w:r w:rsidRPr="005E06CB">
        <w:rPr>
          <w:rFonts w:ascii="Times New Roman" w:hAnsi="Times New Roman"/>
          <w:szCs w:val="22"/>
        </w:rPr>
        <w:lastRenderedPageBreak/>
        <w:t>Règles applicables au présent appel à propositions</w:t>
      </w:r>
      <w:bookmarkEnd w:id="13"/>
      <w:bookmarkEnd w:id="14"/>
      <w:bookmarkEnd w:id="15"/>
    </w:p>
    <w:p w14:paraId="3E531CE0" w14:textId="77777777" w:rsidR="0007408E" w:rsidRPr="0075133B" w:rsidRDefault="0007408E" w:rsidP="00BD6FF1">
      <w:pPr>
        <w:rPr>
          <w:szCs w:val="22"/>
        </w:rPr>
      </w:pPr>
      <w:r w:rsidRPr="0075133B">
        <w:rPr>
          <w:szCs w:val="22"/>
        </w:rPr>
        <w:t>Les présentes lignes directrices définissent les règles de soumission, de sélection et de mise en œuvre des actions financées dans le cadre du présent appel à propositions, conformément au PRAG, qui s’applique au présent appel (disponible sur internet à l’adresse suivante:</w:t>
      </w:r>
      <w:r w:rsidR="006328A5" w:rsidRPr="00592BA9">
        <w:rPr>
          <w:szCs w:val="22"/>
        </w:rPr>
        <w:t xml:space="preserve"> </w:t>
      </w:r>
      <w:hyperlink r:id="rId22" w:history="1">
        <w:r w:rsidR="006328A5" w:rsidRPr="0075133B">
          <w:rPr>
            <w:rStyle w:val="Hyperlink"/>
            <w:color w:val="auto"/>
            <w:szCs w:val="22"/>
          </w:rPr>
          <w:t>ePRAG - EXACT External Wiki - FR - EC Public Wiki (europa.eu)</w:t>
        </w:r>
      </w:hyperlink>
      <w:r w:rsidRPr="0075133B">
        <w:rPr>
          <w:szCs w:val="22"/>
        </w:rPr>
        <w:t>)</w:t>
      </w:r>
      <w:r w:rsidR="00C60C7C" w:rsidRPr="0075133B">
        <w:rPr>
          <w:rStyle w:val="FootnoteReference"/>
          <w:sz w:val="22"/>
          <w:szCs w:val="22"/>
        </w:rPr>
        <w:footnoteReference w:id="7"/>
      </w:r>
      <w:r w:rsidRPr="0075133B">
        <w:rPr>
          <w:szCs w:val="22"/>
        </w:rPr>
        <w:t>.</w:t>
      </w:r>
    </w:p>
    <w:p w14:paraId="15879C50" w14:textId="77777777" w:rsidR="0007408E" w:rsidRPr="0075133B" w:rsidRDefault="0007408E" w:rsidP="00575041">
      <w:pPr>
        <w:pStyle w:val="Guidelines2"/>
        <w:numPr>
          <w:ilvl w:val="1"/>
          <w:numId w:val="17"/>
        </w:numPr>
        <w:rPr>
          <w:rFonts w:ascii="Times New Roman" w:hAnsi="Times New Roman"/>
          <w:sz w:val="22"/>
          <w:szCs w:val="22"/>
        </w:rPr>
      </w:pPr>
      <w:bookmarkStart w:id="16" w:name="_Toc74830948"/>
      <w:bookmarkStart w:id="17" w:name="_Toc179890128"/>
      <w:bookmarkStart w:id="18" w:name="_Toc182404628"/>
      <w:r w:rsidRPr="0075133B">
        <w:rPr>
          <w:rFonts w:ascii="Times New Roman" w:hAnsi="Times New Roman"/>
          <w:sz w:val="22"/>
          <w:szCs w:val="22"/>
        </w:rPr>
        <w:t>Critères d’éligibilité</w:t>
      </w:r>
      <w:bookmarkEnd w:id="16"/>
      <w:bookmarkEnd w:id="17"/>
      <w:bookmarkEnd w:id="18"/>
    </w:p>
    <w:p w14:paraId="0E8461DD" w14:textId="77777777" w:rsidR="0007408E" w:rsidRPr="0075133B" w:rsidRDefault="0007408E" w:rsidP="006E0555">
      <w:pPr>
        <w:rPr>
          <w:szCs w:val="22"/>
        </w:rPr>
      </w:pPr>
      <w:r w:rsidRPr="0075133B">
        <w:rPr>
          <w:szCs w:val="22"/>
        </w:rPr>
        <w:t>Il existe trois séries de critères d’éligibilité, qui concernent respectivement:</w:t>
      </w:r>
    </w:p>
    <w:p w14:paraId="07AB02A0" w14:textId="00477464" w:rsidR="003477DE" w:rsidRPr="0075133B" w:rsidRDefault="00DC12B7" w:rsidP="00575041">
      <w:pPr>
        <w:numPr>
          <w:ilvl w:val="0"/>
          <w:numId w:val="34"/>
        </w:numPr>
        <w:rPr>
          <w:szCs w:val="22"/>
        </w:rPr>
      </w:pPr>
      <w:r w:rsidRPr="0075133B">
        <w:rPr>
          <w:szCs w:val="22"/>
        </w:rPr>
        <w:t>Les</w:t>
      </w:r>
      <w:r w:rsidR="00296A25" w:rsidRPr="0075133B">
        <w:rPr>
          <w:szCs w:val="22"/>
        </w:rPr>
        <w:t xml:space="preserve"> acteurs (2.1.1.):</w:t>
      </w:r>
    </w:p>
    <w:p w14:paraId="46907576" w14:textId="77777777" w:rsidR="003477DE" w:rsidRPr="0075133B" w:rsidRDefault="006A36F9" w:rsidP="00575041">
      <w:pPr>
        <w:numPr>
          <w:ilvl w:val="0"/>
          <w:numId w:val="20"/>
        </w:numPr>
        <w:ind w:left="1134"/>
        <w:rPr>
          <w:szCs w:val="22"/>
        </w:rPr>
      </w:pPr>
      <w:r w:rsidRPr="0075133B">
        <w:rPr>
          <w:szCs w:val="22"/>
        </w:rPr>
        <w:t>le «</w:t>
      </w:r>
      <w:r w:rsidR="00141E6C" w:rsidRPr="0075133B">
        <w:rPr>
          <w:szCs w:val="22"/>
        </w:rPr>
        <w:t xml:space="preserve"> </w:t>
      </w:r>
      <w:r w:rsidRPr="0075133B">
        <w:rPr>
          <w:b/>
          <w:szCs w:val="22"/>
        </w:rPr>
        <w:t>demandeur chef de file</w:t>
      </w:r>
      <w:r w:rsidR="00141E6C" w:rsidRPr="0075133B">
        <w:rPr>
          <w:b/>
          <w:szCs w:val="22"/>
        </w:rPr>
        <w:t xml:space="preserve"> </w:t>
      </w:r>
      <w:r w:rsidRPr="0075133B">
        <w:rPr>
          <w:szCs w:val="22"/>
        </w:rPr>
        <w:t>», c’est-à-dire l’entité qui soumet le formulaire de demande,</w:t>
      </w:r>
    </w:p>
    <w:p w14:paraId="2EF718B1" w14:textId="77777777" w:rsidR="003477DE" w:rsidRPr="0075133B" w:rsidRDefault="00A31B91" w:rsidP="00575041">
      <w:pPr>
        <w:numPr>
          <w:ilvl w:val="0"/>
          <w:numId w:val="20"/>
        </w:numPr>
        <w:ind w:left="1134"/>
        <w:rPr>
          <w:szCs w:val="22"/>
        </w:rPr>
      </w:pPr>
      <w:r w:rsidRPr="0075133B">
        <w:rPr>
          <w:szCs w:val="22"/>
        </w:rPr>
        <w:t xml:space="preserve">le cas échéant, son ou ses </w:t>
      </w:r>
      <w:r w:rsidRPr="0075133B">
        <w:rPr>
          <w:b/>
          <w:szCs w:val="22"/>
        </w:rPr>
        <w:t>codemandeurs</w:t>
      </w:r>
      <w:r w:rsidRPr="0075133B">
        <w:rPr>
          <w:szCs w:val="22"/>
        </w:rPr>
        <w:t xml:space="preserve"> (</w:t>
      </w:r>
      <w:r w:rsidRPr="0075133B">
        <w:rPr>
          <w:b/>
          <w:szCs w:val="22"/>
          <w:u w:val="single"/>
        </w:rPr>
        <w:t>sauf disposition contraire, le demandeur chef de file et ses codemandeurs sont ci-après conjointement dénommés les «demandeurs»</w:t>
      </w:r>
      <w:r w:rsidRPr="0075133B">
        <w:rPr>
          <w:szCs w:val="22"/>
        </w:rPr>
        <w:t>),</w:t>
      </w:r>
    </w:p>
    <w:p w14:paraId="587B1C8F" w14:textId="77777777" w:rsidR="00E95995" w:rsidRPr="0075133B" w:rsidRDefault="006A36F9" w:rsidP="00575041">
      <w:pPr>
        <w:numPr>
          <w:ilvl w:val="0"/>
          <w:numId w:val="20"/>
        </w:numPr>
        <w:ind w:left="1134"/>
        <w:rPr>
          <w:szCs w:val="22"/>
        </w:rPr>
      </w:pPr>
      <w:r w:rsidRPr="0075133B">
        <w:rPr>
          <w:szCs w:val="22"/>
        </w:rPr>
        <w:t xml:space="preserve">et, le cas échéant, la ou les </w:t>
      </w:r>
      <w:r w:rsidRPr="0075133B">
        <w:rPr>
          <w:b/>
          <w:szCs w:val="22"/>
        </w:rPr>
        <w:t>entités affiliées</w:t>
      </w:r>
      <w:r w:rsidRPr="0075133B">
        <w:rPr>
          <w:szCs w:val="22"/>
        </w:rPr>
        <w:t xml:space="preserve"> au demandeur chef de file et/ou aux codemandeurs;</w:t>
      </w:r>
    </w:p>
    <w:p w14:paraId="06038720" w14:textId="7FF1F04E" w:rsidR="00E95995" w:rsidRPr="0075133B" w:rsidRDefault="00DC12B7" w:rsidP="00575041">
      <w:pPr>
        <w:numPr>
          <w:ilvl w:val="0"/>
          <w:numId w:val="34"/>
        </w:numPr>
        <w:rPr>
          <w:szCs w:val="22"/>
        </w:rPr>
      </w:pPr>
      <w:r w:rsidRPr="0075133B">
        <w:rPr>
          <w:szCs w:val="22"/>
        </w:rPr>
        <w:t>Les</w:t>
      </w:r>
      <w:r w:rsidR="00296A25" w:rsidRPr="0075133B">
        <w:rPr>
          <w:szCs w:val="22"/>
        </w:rPr>
        <w:t xml:space="preserve"> actions (2.1.3.):</w:t>
      </w:r>
    </w:p>
    <w:p w14:paraId="50637CB0" w14:textId="77777777" w:rsidR="003477DE" w:rsidRPr="0075133B" w:rsidRDefault="006264EC" w:rsidP="00E95995">
      <w:pPr>
        <w:ind w:left="720"/>
        <w:rPr>
          <w:szCs w:val="22"/>
        </w:rPr>
      </w:pPr>
      <w:r w:rsidRPr="0075133B">
        <w:rPr>
          <w:szCs w:val="22"/>
        </w:rPr>
        <w:t>•      les actions susceptibles de bénéficier d’une subvention;</w:t>
      </w:r>
    </w:p>
    <w:p w14:paraId="13B35045" w14:textId="14542E04" w:rsidR="00E95995" w:rsidRPr="0075133B" w:rsidRDefault="00DC12B7" w:rsidP="00575041">
      <w:pPr>
        <w:numPr>
          <w:ilvl w:val="0"/>
          <w:numId w:val="34"/>
        </w:numPr>
        <w:rPr>
          <w:szCs w:val="22"/>
        </w:rPr>
      </w:pPr>
      <w:r w:rsidRPr="0075133B">
        <w:rPr>
          <w:szCs w:val="22"/>
        </w:rPr>
        <w:t>Les</w:t>
      </w:r>
      <w:r w:rsidR="00296A25" w:rsidRPr="0075133B">
        <w:rPr>
          <w:szCs w:val="22"/>
        </w:rPr>
        <w:t xml:space="preserve"> coûts (2.1.4.):</w:t>
      </w:r>
    </w:p>
    <w:p w14:paraId="611B22DC" w14:textId="77777777" w:rsidR="00267E4F" w:rsidRPr="0075133B" w:rsidRDefault="0007408E" w:rsidP="00575041">
      <w:pPr>
        <w:numPr>
          <w:ilvl w:val="0"/>
          <w:numId w:val="20"/>
        </w:numPr>
        <w:ind w:left="1134"/>
        <w:rPr>
          <w:szCs w:val="22"/>
        </w:rPr>
      </w:pPr>
      <w:r w:rsidRPr="0075133B">
        <w:rPr>
          <w:szCs w:val="22"/>
        </w:rPr>
        <w:t>les types de coûts pouvant être pris en compte dans le calcul du montant de la subvention.</w:t>
      </w:r>
    </w:p>
    <w:p w14:paraId="691529D0" w14:textId="77777777" w:rsidR="0007408E" w:rsidRPr="0075133B" w:rsidRDefault="0007408E" w:rsidP="00BF7926">
      <w:pPr>
        <w:pStyle w:val="Guidelines3"/>
        <w:rPr>
          <w:sz w:val="22"/>
          <w:szCs w:val="22"/>
        </w:rPr>
      </w:pPr>
      <w:bookmarkStart w:id="19" w:name="_Toc74830949"/>
      <w:bookmarkStart w:id="20" w:name="_Toc179890129"/>
      <w:bookmarkStart w:id="21" w:name="_Toc182404629"/>
      <w:r w:rsidRPr="0075133B">
        <w:rPr>
          <w:sz w:val="22"/>
          <w:szCs w:val="22"/>
        </w:rPr>
        <w:t>Éligibilité des demandeurs (demandeur chef de file et codemandeur(s))</w:t>
      </w:r>
      <w:bookmarkEnd w:id="19"/>
      <w:bookmarkEnd w:id="20"/>
      <w:bookmarkEnd w:id="21"/>
    </w:p>
    <w:p w14:paraId="6BF1ECDF" w14:textId="77777777" w:rsidR="004127BD" w:rsidRPr="0075133B" w:rsidRDefault="00ED0176" w:rsidP="006E0555">
      <w:pPr>
        <w:spacing w:before="240"/>
        <w:rPr>
          <w:b/>
          <w:szCs w:val="22"/>
        </w:rPr>
      </w:pPr>
      <w:r w:rsidRPr="0075133B">
        <w:rPr>
          <w:b/>
          <w:szCs w:val="22"/>
        </w:rPr>
        <w:t>Demandeur chef de file</w:t>
      </w:r>
    </w:p>
    <w:p w14:paraId="3B191ED3" w14:textId="77777777" w:rsidR="0007408E" w:rsidRPr="0075133B" w:rsidRDefault="006E0555" w:rsidP="006E0555">
      <w:pPr>
        <w:ind w:left="426" w:hanging="426"/>
        <w:rPr>
          <w:szCs w:val="22"/>
        </w:rPr>
      </w:pPr>
      <w:r w:rsidRPr="0075133B">
        <w:rPr>
          <w:szCs w:val="22"/>
        </w:rPr>
        <w:t>1)</w:t>
      </w:r>
      <w:r w:rsidRPr="0075133B">
        <w:rPr>
          <w:szCs w:val="22"/>
        </w:rPr>
        <w:tab/>
        <w:t>Pour prétendre à une subvention, le demandeur chef de file doit:</w:t>
      </w:r>
    </w:p>
    <w:p w14:paraId="4DC04936" w14:textId="56D73ECF" w:rsidR="00CC2113" w:rsidRPr="0075133B" w:rsidRDefault="00DC12B7" w:rsidP="006C52AA">
      <w:pPr>
        <w:ind w:left="426"/>
        <w:rPr>
          <w:szCs w:val="22"/>
        </w:rPr>
      </w:pPr>
      <w:r w:rsidRPr="0075133B">
        <w:rPr>
          <w:szCs w:val="22"/>
        </w:rPr>
        <w:t>Être</w:t>
      </w:r>
      <w:r w:rsidR="00CC2113" w:rsidRPr="0075133B">
        <w:rPr>
          <w:szCs w:val="22"/>
        </w:rPr>
        <w:t xml:space="preserve"> une personne morale </w:t>
      </w:r>
      <w:r w:rsidR="00CC2113" w:rsidRPr="0075133B">
        <w:rPr>
          <w:b/>
          <w:szCs w:val="22"/>
        </w:rPr>
        <w:t>et</w:t>
      </w:r>
      <w:r w:rsidR="00CC2113" w:rsidRPr="0075133B" w:rsidDel="00C905C1">
        <w:rPr>
          <w:szCs w:val="22"/>
        </w:rPr>
        <w:t xml:space="preserve"> </w:t>
      </w:r>
    </w:p>
    <w:p w14:paraId="64C57E2C" w14:textId="77777777" w:rsidR="000B491E" w:rsidRPr="0075133B" w:rsidRDefault="004C0261" w:rsidP="00575041">
      <w:pPr>
        <w:pStyle w:val="ListParagraph"/>
        <w:numPr>
          <w:ilvl w:val="0"/>
          <w:numId w:val="21"/>
        </w:numPr>
        <w:spacing w:after="0"/>
        <w:rPr>
          <w:szCs w:val="22"/>
        </w:rPr>
      </w:pPr>
      <w:r w:rsidRPr="0075133B">
        <w:rPr>
          <w:snapToGrid w:val="0"/>
          <w:szCs w:val="22"/>
          <w:lang w:val="fr-BE"/>
        </w:rPr>
        <w:t xml:space="preserve">Appartenir à une des catégories d’organisation suivantes : </w:t>
      </w:r>
    </w:p>
    <w:p w14:paraId="07864ADC" w14:textId="623ED0DC" w:rsidR="00141E6C" w:rsidRPr="0075133B" w:rsidRDefault="004C0261" w:rsidP="006C52AA">
      <w:pPr>
        <w:pStyle w:val="ListParagraph"/>
        <w:spacing w:after="0"/>
        <w:ind w:left="1211"/>
        <w:rPr>
          <w:snapToGrid w:val="0"/>
          <w:szCs w:val="22"/>
          <w:lang w:val="fr-BE"/>
        </w:rPr>
      </w:pPr>
      <w:r w:rsidRPr="0075133B">
        <w:rPr>
          <w:b/>
          <w:snapToGrid w:val="0"/>
          <w:szCs w:val="22"/>
          <w:lang w:val="fr-BE"/>
        </w:rPr>
        <w:t>(i</w:t>
      </w:r>
      <w:r w:rsidR="008C50F8" w:rsidRPr="0075133B">
        <w:rPr>
          <w:b/>
          <w:snapToGrid w:val="0"/>
          <w:szCs w:val="22"/>
          <w:lang w:val="fr-BE"/>
        </w:rPr>
        <w:t>) pour le lot 1</w:t>
      </w:r>
      <w:r w:rsidRPr="0075133B">
        <w:rPr>
          <w:b/>
          <w:snapToGrid w:val="0"/>
          <w:szCs w:val="22"/>
          <w:lang w:val="fr-BE"/>
        </w:rPr>
        <w:t>,</w:t>
      </w:r>
      <w:r w:rsidR="001D2F42">
        <w:rPr>
          <w:snapToGrid w:val="0"/>
          <w:szCs w:val="22"/>
          <w:lang w:val="fr-BE"/>
        </w:rPr>
        <w:t xml:space="preserve"> une </w:t>
      </w:r>
      <w:r w:rsidRPr="0075133B">
        <w:rPr>
          <w:snapToGrid w:val="0"/>
          <w:szCs w:val="22"/>
          <w:lang w:val="fr-BE"/>
        </w:rPr>
        <w:t>OSC (organisation de la société civile), association, ONG (organisation non gouvernementale)</w:t>
      </w:r>
    </w:p>
    <w:p w14:paraId="45F28A7A" w14:textId="77777777" w:rsidR="004C0261" w:rsidRPr="0075133B" w:rsidRDefault="000B491E" w:rsidP="006C52AA">
      <w:pPr>
        <w:pStyle w:val="ListParagraph"/>
        <w:spacing w:after="0"/>
        <w:ind w:left="1211"/>
        <w:rPr>
          <w:szCs w:val="22"/>
        </w:rPr>
      </w:pPr>
      <w:r w:rsidRPr="0075133B">
        <w:rPr>
          <w:b/>
          <w:snapToGrid w:val="0"/>
          <w:szCs w:val="22"/>
          <w:lang w:val="fr-BE"/>
        </w:rPr>
        <w:t xml:space="preserve">(ii) </w:t>
      </w:r>
      <w:r w:rsidR="008C50F8" w:rsidRPr="0075133B">
        <w:rPr>
          <w:b/>
          <w:snapToGrid w:val="0"/>
          <w:szCs w:val="22"/>
          <w:lang w:val="fr-BE"/>
        </w:rPr>
        <w:t>pour le lot 2,</w:t>
      </w:r>
      <w:r w:rsidR="008C50F8" w:rsidRPr="0075133B">
        <w:rPr>
          <w:snapToGrid w:val="0"/>
          <w:szCs w:val="22"/>
          <w:lang w:val="fr-BE"/>
        </w:rPr>
        <w:t xml:space="preserve"> une plateforme ou un réseau d’organisations de la société civile;</w:t>
      </w:r>
      <w:r w:rsidR="0011209C" w:rsidRPr="0075133B">
        <w:rPr>
          <w:snapToGrid w:val="0"/>
          <w:szCs w:val="22"/>
          <w:lang w:val="fr-BE"/>
        </w:rPr>
        <w:t xml:space="preserve"> </w:t>
      </w:r>
      <w:r w:rsidR="0011209C" w:rsidRPr="0075133B">
        <w:rPr>
          <w:b/>
          <w:snapToGrid w:val="0"/>
          <w:szCs w:val="22"/>
          <w:lang w:val="fr-BE"/>
        </w:rPr>
        <w:t>et</w:t>
      </w:r>
    </w:p>
    <w:p w14:paraId="04B738C6" w14:textId="77777777" w:rsidR="00CC2113" w:rsidRPr="0075133B" w:rsidRDefault="00CC2113" w:rsidP="008C50F8">
      <w:pPr>
        <w:spacing w:after="0"/>
        <w:ind w:left="1211"/>
        <w:rPr>
          <w:szCs w:val="22"/>
        </w:rPr>
      </w:pPr>
    </w:p>
    <w:p w14:paraId="0409BE3A" w14:textId="07039FD7" w:rsidR="00CC2113" w:rsidRPr="0075133B" w:rsidRDefault="00DC12B7" w:rsidP="00575041">
      <w:pPr>
        <w:numPr>
          <w:ilvl w:val="0"/>
          <w:numId w:val="21"/>
        </w:numPr>
        <w:rPr>
          <w:szCs w:val="22"/>
        </w:rPr>
      </w:pPr>
      <w:r w:rsidRPr="0075133B">
        <w:rPr>
          <w:szCs w:val="22"/>
        </w:rPr>
        <w:t>N’avoir</w:t>
      </w:r>
      <w:r w:rsidR="00CC2113" w:rsidRPr="0075133B">
        <w:rPr>
          <w:szCs w:val="22"/>
        </w:rPr>
        <w:t xml:space="preserve"> aucun but lucratif </w:t>
      </w:r>
      <w:r w:rsidR="00CC2113" w:rsidRPr="0075133B">
        <w:rPr>
          <w:b/>
          <w:szCs w:val="22"/>
        </w:rPr>
        <w:t>et</w:t>
      </w:r>
    </w:p>
    <w:p w14:paraId="04D376B0" w14:textId="552C2E1D" w:rsidR="00CC2113" w:rsidRPr="00592BA9" w:rsidRDefault="00A848FC" w:rsidP="00575041">
      <w:pPr>
        <w:pStyle w:val="ListParagraph"/>
        <w:numPr>
          <w:ilvl w:val="0"/>
          <w:numId w:val="21"/>
        </w:numPr>
        <w:rPr>
          <w:szCs w:val="22"/>
        </w:rPr>
      </w:pPr>
      <w:r>
        <w:rPr>
          <w:szCs w:val="22"/>
        </w:rPr>
        <w:lastRenderedPageBreak/>
        <w:t>Ê</w:t>
      </w:r>
      <w:r w:rsidR="00CC2113" w:rsidRPr="0075133B">
        <w:rPr>
          <w:szCs w:val="22"/>
        </w:rPr>
        <w:t>tre établi dans un pays éligible conformément à l’article 28 du Règlement (UE) 2021/947 du Parlement Européen et du Conseil du 9 juin 2021</w:t>
      </w:r>
      <w:r w:rsidR="00CC2113" w:rsidRPr="0075133B">
        <w:rPr>
          <w:szCs w:val="22"/>
          <w:vertAlign w:val="superscript"/>
        </w:rPr>
        <w:footnoteReference w:id="8"/>
      </w:r>
      <w:r w:rsidR="00524EF5" w:rsidRPr="0075133B">
        <w:rPr>
          <w:szCs w:val="22"/>
        </w:rPr>
        <w:t xml:space="preserve"> </w:t>
      </w:r>
      <w:r w:rsidR="00CC2113" w:rsidRPr="0075133B">
        <w:rPr>
          <w:szCs w:val="22"/>
          <w:lang w:val="fr-BE"/>
        </w:rPr>
        <w:t xml:space="preserve">ou être </w:t>
      </w:r>
      <w:r w:rsidR="00CC2113" w:rsidRPr="00592BA9">
        <w:rPr>
          <w:szCs w:val="22"/>
        </w:rPr>
        <w:t xml:space="preserve">établi au Sénégal </w:t>
      </w:r>
      <w:r w:rsidR="00CC2113" w:rsidRPr="00592BA9">
        <w:rPr>
          <w:b/>
          <w:szCs w:val="22"/>
        </w:rPr>
        <w:t>et</w:t>
      </w:r>
    </w:p>
    <w:p w14:paraId="3F7CF995" w14:textId="1BDF58B5" w:rsidR="00CC2113" w:rsidRPr="0075133B" w:rsidRDefault="00A848FC" w:rsidP="00575041">
      <w:pPr>
        <w:pStyle w:val="ListParagraph"/>
        <w:numPr>
          <w:ilvl w:val="0"/>
          <w:numId w:val="21"/>
        </w:numPr>
        <w:rPr>
          <w:szCs w:val="22"/>
        </w:rPr>
      </w:pPr>
      <w:r w:rsidRPr="0075133B">
        <w:rPr>
          <w:szCs w:val="22"/>
        </w:rPr>
        <w:t>Être</w:t>
      </w:r>
      <w:r w:rsidR="00CC2113" w:rsidRPr="0075133B">
        <w:rPr>
          <w:szCs w:val="22"/>
        </w:rPr>
        <w:t xml:space="preserve">, au moment de la publication de cet appel à propositions, enregistré depuis au moins 2 ans auprès </w:t>
      </w:r>
      <w:r w:rsidRPr="0075133B">
        <w:rPr>
          <w:szCs w:val="22"/>
        </w:rPr>
        <w:t>des services pertinents</w:t>
      </w:r>
      <w:r w:rsidR="00CC2113" w:rsidRPr="0075133B">
        <w:rPr>
          <w:szCs w:val="22"/>
        </w:rPr>
        <w:t xml:space="preserve"> du Sénégal </w:t>
      </w:r>
      <w:r w:rsidR="00CC2113" w:rsidRPr="0075133B">
        <w:rPr>
          <w:b/>
          <w:szCs w:val="22"/>
        </w:rPr>
        <w:t>et</w:t>
      </w:r>
    </w:p>
    <w:p w14:paraId="387F9315" w14:textId="64A517AC" w:rsidR="00CC2113" w:rsidRPr="0075133B" w:rsidRDefault="00A848FC" w:rsidP="00575041">
      <w:pPr>
        <w:numPr>
          <w:ilvl w:val="0"/>
          <w:numId w:val="21"/>
        </w:numPr>
        <w:rPr>
          <w:szCs w:val="22"/>
        </w:rPr>
      </w:pPr>
      <w:r w:rsidRPr="0075133B">
        <w:rPr>
          <w:szCs w:val="22"/>
        </w:rPr>
        <w:t>Être</w:t>
      </w:r>
      <w:r w:rsidR="00CC2113" w:rsidRPr="0075133B">
        <w:rPr>
          <w:szCs w:val="22"/>
        </w:rPr>
        <w:t xml:space="preserve"> directement chargés de la préparation et de la gestion de l’action avec les codemandeurs et l’entité/les entités affiliée(s) et non agir en tant qu’intermédiaire </w:t>
      </w:r>
      <w:r w:rsidR="00141E6C" w:rsidRPr="0075133B">
        <w:rPr>
          <w:b/>
          <w:szCs w:val="22"/>
        </w:rPr>
        <w:t>et</w:t>
      </w:r>
    </w:p>
    <w:p w14:paraId="113A7130" w14:textId="75268E7D" w:rsidR="004C0261" w:rsidRPr="0075133B" w:rsidRDefault="00A848FC" w:rsidP="00575041">
      <w:pPr>
        <w:numPr>
          <w:ilvl w:val="0"/>
          <w:numId w:val="21"/>
        </w:numPr>
        <w:tabs>
          <w:tab w:val="left" w:pos="851"/>
        </w:tabs>
        <w:spacing w:after="0" w:line="288" w:lineRule="auto"/>
        <w:rPr>
          <w:snapToGrid w:val="0"/>
          <w:szCs w:val="22"/>
          <w:lang w:val="fr-BE"/>
        </w:rPr>
      </w:pPr>
      <w:r w:rsidRPr="0075133B">
        <w:rPr>
          <w:snapToGrid w:val="0"/>
          <w:szCs w:val="22"/>
          <w:lang w:val="fr-BE"/>
        </w:rPr>
        <w:t>Disposer</w:t>
      </w:r>
      <w:r w:rsidR="004C0261" w:rsidRPr="0075133B">
        <w:rPr>
          <w:snapToGrid w:val="0"/>
          <w:szCs w:val="22"/>
          <w:lang w:val="fr-BE"/>
        </w:rPr>
        <w:t xml:space="preserve"> d’une expérience de travail effective et mesurable </w:t>
      </w:r>
    </w:p>
    <w:p w14:paraId="0A14E8C7" w14:textId="77777777" w:rsidR="00141E6C" w:rsidRPr="0075133B" w:rsidRDefault="00141E6C" w:rsidP="00141E6C">
      <w:pPr>
        <w:numPr>
          <w:ilvl w:val="1"/>
          <w:numId w:val="21"/>
        </w:numPr>
        <w:tabs>
          <w:tab w:val="left" w:pos="851"/>
        </w:tabs>
        <w:spacing w:after="0" w:line="288" w:lineRule="auto"/>
        <w:jc w:val="left"/>
        <w:rPr>
          <w:b/>
          <w:snapToGrid w:val="0"/>
          <w:szCs w:val="22"/>
          <w:lang w:val="fr-BE"/>
        </w:rPr>
      </w:pPr>
      <w:r w:rsidRPr="0075133B">
        <w:rPr>
          <w:snapToGrid w:val="0"/>
          <w:szCs w:val="22"/>
          <w:lang w:val="fr-BE"/>
        </w:rPr>
        <w:t xml:space="preserve">dans le secteur de l’entrepreneuriat des jeunes </w:t>
      </w:r>
      <w:r w:rsidRPr="0075133B">
        <w:rPr>
          <w:b/>
          <w:snapToGrid w:val="0"/>
          <w:szCs w:val="22"/>
          <w:lang w:val="fr-BE"/>
        </w:rPr>
        <w:t xml:space="preserve">(lot 1) </w:t>
      </w:r>
    </w:p>
    <w:p w14:paraId="5F32BF75" w14:textId="77777777" w:rsidR="004C0261" w:rsidRPr="0075133B" w:rsidRDefault="004C0261" w:rsidP="00575041">
      <w:pPr>
        <w:numPr>
          <w:ilvl w:val="1"/>
          <w:numId w:val="21"/>
        </w:numPr>
        <w:tabs>
          <w:tab w:val="left" w:pos="851"/>
        </w:tabs>
        <w:spacing w:after="0" w:line="288" w:lineRule="auto"/>
        <w:rPr>
          <w:snapToGrid w:val="0"/>
          <w:szCs w:val="22"/>
          <w:lang w:val="fr-BE"/>
        </w:rPr>
      </w:pPr>
      <w:r w:rsidRPr="0075133B">
        <w:rPr>
          <w:snapToGrid w:val="0"/>
          <w:szCs w:val="22"/>
          <w:lang w:val="fr-BE"/>
        </w:rPr>
        <w:t>en termes de sensibilisation, plaidoyer</w:t>
      </w:r>
      <w:r w:rsidR="008C50F8" w:rsidRPr="0075133B">
        <w:rPr>
          <w:snapToGrid w:val="0"/>
          <w:szCs w:val="22"/>
          <w:lang w:val="fr-BE"/>
        </w:rPr>
        <w:t xml:space="preserve"> à l’inclusion des jeunes</w:t>
      </w:r>
      <w:r w:rsidRPr="0075133B">
        <w:rPr>
          <w:snapToGrid w:val="0"/>
          <w:szCs w:val="22"/>
          <w:lang w:val="fr-BE"/>
        </w:rPr>
        <w:t xml:space="preserve">, </w:t>
      </w:r>
      <w:r w:rsidR="008C50F8" w:rsidRPr="0075133B">
        <w:rPr>
          <w:szCs w:val="22"/>
          <w:lang w:val="fr-BE"/>
        </w:rPr>
        <w:t xml:space="preserve">accès au sport / culture, </w:t>
      </w:r>
      <w:r w:rsidR="0005306F" w:rsidRPr="0075133B">
        <w:rPr>
          <w:szCs w:val="22"/>
          <w:lang w:val="fr-BE"/>
        </w:rPr>
        <w:t>santé reproductive</w:t>
      </w:r>
      <w:r w:rsidR="008C50F8" w:rsidRPr="0075133B">
        <w:rPr>
          <w:szCs w:val="22"/>
          <w:lang w:val="fr-BE"/>
        </w:rPr>
        <w:t>,</w:t>
      </w:r>
      <w:r w:rsidR="00141E6C" w:rsidRPr="0075133B">
        <w:rPr>
          <w:szCs w:val="22"/>
          <w:lang w:val="fr-BE"/>
        </w:rPr>
        <w:t xml:space="preserve"> </w:t>
      </w:r>
      <w:r w:rsidR="0005306F" w:rsidRPr="0075133B">
        <w:rPr>
          <w:szCs w:val="22"/>
          <w:lang w:val="fr-BE"/>
        </w:rPr>
        <w:t xml:space="preserve">leadership, </w:t>
      </w:r>
      <w:r w:rsidRPr="0075133B">
        <w:rPr>
          <w:snapToGrid w:val="0"/>
          <w:szCs w:val="22"/>
          <w:lang w:val="fr-BE"/>
        </w:rPr>
        <w:t>activités de communication</w:t>
      </w:r>
      <w:r w:rsidR="008C50F8" w:rsidRPr="0075133B">
        <w:rPr>
          <w:snapToGrid w:val="0"/>
          <w:szCs w:val="22"/>
          <w:lang w:val="fr-BE"/>
        </w:rPr>
        <w:t xml:space="preserve"> pour les jeunes filles</w:t>
      </w:r>
      <w:r w:rsidRPr="0075133B">
        <w:rPr>
          <w:snapToGrid w:val="0"/>
          <w:szCs w:val="22"/>
          <w:lang w:val="fr-BE"/>
        </w:rPr>
        <w:t xml:space="preserve"> </w:t>
      </w:r>
      <w:r w:rsidR="008C50F8" w:rsidRPr="0075133B">
        <w:rPr>
          <w:b/>
          <w:snapToGrid w:val="0"/>
          <w:szCs w:val="22"/>
          <w:lang w:val="fr-BE"/>
        </w:rPr>
        <w:t>(lot 2</w:t>
      </w:r>
      <w:r w:rsidRPr="0075133B">
        <w:rPr>
          <w:b/>
          <w:snapToGrid w:val="0"/>
          <w:szCs w:val="22"/>
          <w:lang w:val="fr-BE"/>
        </w:rPr>
        <w:t>)</w:t>
      </w:r>
    </w:p>
    <w:p w14:paraId="38E7C8F1" w14:textId="77777777" w:rsidR="00CC2113" w:rsidRPr="0075133B" w:rsidRDefault="00CC2113" w:rsidP="004741A1">
      <w:pPr>
        <w:ind w:left="426"/>
        <w:rPr>
          <w:szCs w:val="22"/>
        </w:rPr>
      </w:pPr>
    </w:p>
    <w:p w14:paraId="2F148C6F" w14:textId="77777777" w:rsidR="006A0AD3" w:rsidRPr="0075133B" w:rsidRDefault="00DE6435" w:rsidP="00807DAF">
      <w:pPr>
        <w:spacing w:after="0"/>
        <w:ind w:left="425" w:hanging="425"/>
        <w:rPr>
          <w:szCs w:val="22"/>
        </w:rPr>
      </w:pPr>
      <w:r w:rsidRPr="0075133B">
        <w:rPr>
          <w:szCs w:val="22"/>
        </w:rPr>
        <w:t>2)</w:t>
      </w:r>
      <w:r w:rsidRPr="0075133B">
        <w:rPr>
          <w:szCs w:val="22"/>
        </w:rPr>
        <w:tab/>
        <w:t>Ne peuvent participer à des appels à propositions, ni être bénéficiaires d’une subvention, les demandeurs potentiels se trouvant dans l’une des situations décrites à la section 2.6.10.1 du PRAG.</w:t>
      </w:r>
    </w:p>
    <w:p w14:paraId="425C51B8" w14:textId="77777777" w:rsidR="007B2B84" w:rsidRPr="0075133B" w:rsidRDefault="007B2B84" w:rsidP="00807DAF">
      <w:pPr>
        <w:spacing w:after="0"/>
        <w:ind w:left="425" w:hanging="425"/>
        <w:rPr>
          <w:szCs w:val="22"/>
        </w:rPr>
      </w:pPr>
    </w:p>
    <w:p w14:paraId="6AB7E00D" w14:textId="77777777" w:rsidR="007B2B84" w:rsidRPr="0075133B" w:rsidRDefault="007B2B84" w:rsidP="007B2B84">
      <w:pPr>
        <w:rPr>
          <w:szCs w:val="22"/>
        </w:rPr>
      </w:pPr>
      <w:r w:rsidRPr="0075133B">
        <w:rPr>
          <w:szCs w:val="22"/>
        </w:rPr>
        <w:t xml:space="preserve">Les demandeurs chefs de file, les codemandeurs et les entités affiliées et, s’il s’agit de personnes morales, les personnes ayant sur eux un pouvoir de représentation, de décision ou de contrôle sont informés du fait que, s’ils se trouvent dans une des situations de détection rapide ou d’exclusion conformément à la section 2.6.10.1 du PRAG,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 contrat de subvention. À cet égard, les demandeurs chefs de file, les codemandeurs et les entités affiliées provisoirement sélectionnés ou inscrits sur la liste de réserve sont tenus de déclarer, au moyen d’une déclaration sur l’honneur signée (annexe A14 du PRAG), qu’ils ne se trouvent pas dans l’une des situations d’exclusion. Pour les subventions inférieures ou égales à 15 000 EUR, aucune déclaration sur l’honneur n’est requise. Voir section 2.4. </w:t>
      </w:r>
    </w:p>
    <w:p w14:paraId="2B1B3541" w14:textId="77777777" w:rsidR="007B2B84" w:rsidRPr="0075133B" w:rsidRDefault="007B2B84" w:rsidP="00807DAF">
      <w:pPr>
        <w:spacing w:after="0"/>
        <w:ind w:left="425" w:hanging="425"/>
        <w:rPr>
          <w:szCs w:val="22"/>
        </w:rPr>
      </w:pPr>
    </w:p>
    <w:p w14:paraId="4DD6D2FB" w14:textId="72A13659" w:rsidR="00C4172B" w:rsidRPr="0075133B" w:rsidRDefault="001F59CD" w:rsidP="00A8103B">
      <w:pPr>
        <w:rPr>
          <w:szCs w:val="22"/>
        </w:rPr>
      </w:pPr>
      <w:r w:rsidRPr="0075133B">
        <w:rPr>
          <w:szCs w:val="22"/>
        </w:rPr>
        <w:t>À l’annexe A.1, section 2, et à l’annexe A.2, section 5, du formulaire de demande de subvention «déclaration</w:t>
      </w:r>
      <w:r w:rsidR="00A848FC">
        <w:rPr>
          <w:szCs w:val="22"/>
        </w:rPr>
        <w:t xml:space="preserve"> </w:t>
      </w:r>
      <w:r w:rsidRPr="0075133B">
        <w:rPr>
          <w:szCs w:val="22"/>
        </w:rPr>
        <w:t>(s) du demandeur chef de file», le demandeur chef de file doit déclarer que ni lui-même ni le ou les codemandeurs ou l’entité ou les entités affiliées ne se trouvent dans une de ces situations.</w:t>
      </w:r>
    </w:p>
    <w:p w14:paraId="4568D541" w14:textId="77777777" w:rsidR="006A36F9" w:rsidRPr="0075133B" w:rsidRDefault="006A36F9" w:rsidP="00A8103B">
      <w:pPr>
        <w:rPr>
          <w:szCs w:val="22"/>
        </w:rPr>
      </w:pPr>
      <w:r w:rsidRPr="0075133B">
        <w:rPr>
          <w:szCs w:val="22"/>
        </w:rPr>
        <w:t xml:space="preserve">Le demandeur chef de file </w:t>
      </w:r>
      <w:r w:rsidRPr="00344F2D">
        <w:rPr>
          <w:b/>
          <w:szCs w:val="22"/>
          <w:u w:val="single"/>
        </w:rPr>
        <w:t>doit</w:t>
      </w:r>
      <w:r w:rsidRPr="00344F2D">
        <w:rPr>
          <w:b/>
          <w:szCs w:val="22"/>
        </w:rPr>
        <w:t xml:space="preserve"> </w:t>
      </w:r>
      <w:r w:rsidRPr="0075133B">
        <w:rPr>
          <w:szCs w:val="22"/>
        </w:rPr>
        <w:t>agir avec un/des codemandeur(s) conformément aux prescriptions ci-après.</w:t>
      </w:r>
    </w:p>
    <w:p w14:paraId="61C9F1EF" w14:textId="77777777" w:rsidR="00296A25" w:rsidRPr="0075133B" w:rsidRDefault="00D80885" w:rsidP="00A8103B">
      <w:pPr>
        <w:rPr>
          <w:szCs w:val="22"/>
        </w:rPr>
      </w:pPr>
      <w:r w:rsidRPr="0075133B">
        <w:rPr>
          <w:szCs w:val="22"/>
        </w:rPr>
        <w:t>Si la subvention lui est accordée, le demandeur chef de file devient le bénéficiaire identifié comme le coordonnateur dans l’annexe G (Conditions particulières). Le coordonnateur est l’unique interlocuteur de l’administration contractante. Il représente les éventuels autres bénéficiaires et agit en leur nom. Il coordonne l’élaboration et la mise en œuvre de l’action.</w:t>
      </w:r>
    </w:p>
    <w:p w14:paraId="1B533711" w14:textId="77777777" w:rsidR="00B5566D" w:rsidRPr="0075133B" w:rsidRDefault="00B5566D" w:rsidP="00A8103B">
      <w:pPr>
        <w:rPr>
          <w:szCs w:val="22"/>
        </w:rPr>
      </w:pPr>
    </w:p>
    <w:p w14:paraId="62744776" w14:textId="77777777" w:rsidR="00524EF5" w:rsidRPr="0075133B" w:rsidRDefault="00524EF5" w:rsidP="00A8103B">
      <w:pPr>
        <w:rPr>
          <w:szCs w:val="22"/>
        </w:rPr>
      </w:pPr>
    </w:p>
    <w:p w14:paraId="21E6743A" w14:textId="77777777" w:rsidR="006A36F9" w:rsidRPr="0075133B" w:rsidRDefault="006A36F9" w:rsidP="00A8103B">
      <w:pPr>
        <w:rPr>
          <w:b/>
          <w:szCs w:val="22"/>
        </w:rPr>
      </w:pPr>
      <w:r w:rsidRPr="0075133B">
        <w:rPr>
          <w:b/>
          <w:szCs w:val="22"/>
        </w:rPr>
        <w:lastRenderedPageBreak/>
        <w:t>Codemandeur(s)</w:t>
      </w:r>
    </w:p>
    <w:p w14:paraId="2105A04D" w14:textId="77777777" w:rsidR="00CD2371" w:rsidRPr="0075133B" w:rsidRDefault="00CD2371" w:rsidP="00A8103B">
      <w:pPr>
        <w:rPr>
          <w:b/>
          <w:szCs w:val="22"/>
          <w:u w:val="single"/>
        </w:rPr>
      </w:pPr>
      <w:r w:rsidRPr="0075133B">
        <w:rPr>
          <w:b/>
          <w:szCs w:val="22"/>
        </w:rPr>
        <w:t xml:space="preserve">Si le demandeur principal n’est pas une entité sénégalaise, au moins un des codemandeurs </w:t>
      </w:r>
      <w:r w:rsidRPr="0075133B">
        <w:rPr>
          <w:b/>
          <w:szCs w:val="22"/>
          <w:u w:val="single"/>
        </w:rPr>
        <w:t>doit obligatoirement être une entité sénégalaise. En d’autres termes, pour chaque proposition, il faut nécessairement que le demandeur principal, ou un des codemandeurs soit une entité sénégalaise.</w:t>
      </w:r>
    </w:p>
    <w:p w14:paraId="6FE36B88" w14:textId="77777777" w:rsidR="00D54450" w:rsidRPr="0075133B" w:rsidRDefault="00F42DD2" w:rsidP="00A8103B">
      <w:pPr>
        <w:rPr>
          <w:szCs w:val="22"/>
        </w:rPr>
      </w:pPr>
      <w:r w:rsidRPr="0075133B">
        <w:rPr>
          <w:szCs w:val="22"/>
        </w:rPr>
        <w:t xml:space="preserve">Les codemandeurs participent à l’élaboration et à la mise en œuvre de l’action, et les frais qu’ils supportent sont éligibles au même titre que ceux supportés par le demandeur chef de file. </w:t>
      </w:r>
    </w:p>
    <w:p w14:paraId="02A13E24" w14:textId="77777777" w:rsidR="00D54450" w:rsidRPr="0075133B" w:rsidRDefault="006A36F9" w:rsidP="00A8103B">
      <w:pPr>
        <w:rPr>
          <w:szCs w:val="22"/>
        </w:rPr>
      </w:pPr>
      <w:r w:rsidRPr="0075133B">
        <w:rPr>
          <w:szCs w:val="22"/>
        </w:rPr>
        <w:t>Les codemandeurs doivent satisfaire aux mêmes critères d’éligibilité que ceux qui s’appliquent au demandeur chef de file lui-même.</w:t>
      </w:r>
    </w:p>
    <w:p w14:paraId="7ED996C2" w14:textId="77777777" w:rsidR="00D80885" w:rsidRPr="0075133B" w:rsidRDefault="00D80885" w:rsidP="00A8103B">
      <w:pPr>
        <w:rPr>
          <w:szCs w:val="22"/>
        </w:rPr>
      </w:pPr>
      <w:r w:rsidRPr="0075133B">
        <w:rPr>
          <w:szCs w:val="22"/>
        </w:rPr>
        <w:t>Les codemandeurs doivent signer le mandat figurant à l’annexe A.2, section 5.</w:t>
      </w:r>
    </w:p>
    <w:p w14:paraId="7C798CB5" w14:textId="77777777" w:rsidR="00336E5C" w:rsidRPr="0075133B" w:rsidRDefault="00336E5C" w:rsidP="00A8103B">
      <w:pPr>
        <w:rPr>
          <w:szCs w:val="22"/>
        </w:rPr>
      </w:pPr>
      <w:r w:rsidRPr="0075133B">
        <w:rPr>
          <w:szCs w:val="22"/>
        </w:rPr>
        <w:t xml:space="preserve">Si la subvention leur est attribuée, les éventuels codemandeurs deviennent bénéficiaires dans le cadre de l’action (avec le coordonnateur). </w:t>
      </w:r>
    </w:p>
    <w:p w14:paraId="5E17F2D0" w14:textId="77777777" w:rsidR="00AD295A" w:rsidRPr="0075133B" w:rsidRDefault="00930064" w:rsidP="00A8103B">
      <w:pPr>
        <w:numPr>
          <w:ilvl w:val="0"/>
          <w:numId w:val="43"/>
        </w:numPr>
        <w:ind w:left="294"/>
        <w:rPr>
          <w:szCs w:val="22"/>
        </w:rPr>
      </w:pPr>
      <w:r w:rsidRPr="0075133B">
        <w:rPr>
          <w:szCs w:val="22"/>
        </w:rPr>
        <w:t xml:space="preserve">En outre, il convient de noter que les contrats ne peuvent être attribués ou signés avec des demandeurs figurant sur les listes des mesures restrictives de l’UE (voir la section 2.4 du PRAG). </w:t>
      </w:r>
    </w:p>
    <w:p w14:paraId="57CB0787" w14:textId="77777777" w:rsidR="00914462" w:rsidRPr="0075133B" w:rsidRDefault="00914462" w:rsidP="00BA6979">
      <w:pPr>
        <w:rPr>
          <w:b/>
          <w:i/>
          <w:szCs w:val="22"/>
        </w:rPr>
      </w:pPr>
      <w:r w:rsidRPr="0075133B">
        <w:rPr>
          <w:b/>
          <w:szCs w:val="22"/>
        </w:rPr>
        <w:t>Entités affiliées</w:t>
      </w:r>
    </w:p>
    <w:p w14:paraId="22ECAA73" w14:textId="77777777" w:rsidR="00A07623" w:rsidRPr="0075133B" w:rsidRDefault="00A07623" w:rsidP="006B6048">
      <w:pPr>
        <w:rPr>
          <w:szCs w:val="22"/>
        </w:rPr>
      </w:pPr>
      <w:r w:rsidRPr="0075133B">
        <w:rPr>
          <w:szCs w:val="22"/>
        </w:rPr>
        <w:t>Le demandeur chef de file et son ou ses codemandeurs peuvent agir avec une ou des entités affiliées.</w:t>
      </w:r>
    </w:p>
    <w:p w14:paraId="6C53C089" w14:textId="77777777" w:rsidR="00914462" w:rsidRPr="0075133B" w:rsidRDefault="003477DE" w:rsidP="006B6048">
      <w:pPr>
        <w:rPr>
          <w:szCs w:val="22"/>
        </w:rPr>
      </w:pPr>
      <w:r w:rsidRPr="0075133B">
        <w:rPr>
          <w:b/>
          <w:szCs w:val="22"/>
        </w:rPr>
        <w:t>Seules les entités suivantes peuvent être considérées comme affiliées au demandeur chef de file et/ou au(x) codemandeur(s):</w:t>
      </w:r>
    </w:p>
    <w:p w14:paraId="640E41E7" w14:textId="77777777" w:rsidR="005E7A18" w:rsidRPr="0075133B" w:rsidRDefault="005E7A18" w:rsidP="005E7A18">
      <w:pPr>
        <w:keepNext/>
        <w:spacing w:after="120" w:line="276" w:lineRule="auto"/>
        <w:rPr>
          <w:szCs w:val="22"/>
        </w:rPr>
      </w:pPr>
      <w:r w:rsidRPr="0075133B">
        <w:rPr>
          <w:szCs w:val="22"/>
        </w:rPr>
        <w:t>Uniquement les entités qui ont un lien structurel avec les demandeurs (le demandeur chef de file ou un codemandeur), en particulier un lien juridique ou de capital.</w:t>
      </w:r>
    </w:p>
    <w:p w14:paraId="120317C2" w14:textId="77777777" w:rsidR="005E7A18" w:rsidRPr="0075133B" w:rsidRDefault="005E7A18" w:rsidP="005E7A18">
      <w:pPr>
        <w:spacing w:line="276" w:lineRule="auto"/>
        <w:rPr>
          <w:szCs w:val="22"/>
        </w:rPr>
      </w:pPr>
      <w:r w:rsidRPr="0075133B">
        <w:rPr>
          <w:szCs w:val="22"/>
        </w:rPr>
        <w:t>Ce lien structurel englobe principalement deux notions:</w:t>
      </w:r>
    </w:p>
    <w:p w14:paraId="1BB322FA" w14:textId="77777777" w:rsidR="005E7A18" w:rsidRPr="0075133B" w:rsidRDefault="005E7A18" w:rsidP="005E7A18">
      <w:pPr>
        <w:spacing w:line="276" w:lineRule="auto"/>
        <w:ind w:left="720" w:hanging="567"/>
        <w:rPr>
          <w:szCs w:val="22"/>
        </w:rPr>
      </w:pPr>
      <w:r w:rsidRPr="0075133B">
        <w:rPr>
          <w:szCs w:val="22"/>
        </w:rPr>
        <w:t xml:space="preserve">i) </w:t>
      </w:r>
      <w:r w:rsidRPr="0075133B">
        <w:rPr>
          <w:szCs w:val="22"/>
        </w:rPr>
        <w:tab/>
        <w:t>le contrôle, au sens de la directive 2013/34/UE relative aux états financiers annuels, aux états financiers consolidés et aux rapports y afférents de certaines formes d’entreprises.</w:t>
      </w:r>
    </w:p>
    <w:p w14:paraId="42519ED2" w14:textId="77777777" w:rsidR="005E7A18" w:rsidRPr="0075133B" w:rsidRDefault="005E7A18" w:rsidP="00951BF6">
      <w:pPr>
        <w:spacing w:after="120" w:line="276" w:lineRule="auto"/>
        <w:ind w:left="709"/>
        <w:rPr>
          <w:szCs w:val="22"/>
        </w:rPr>
      </w:pPr>
      <w:r w:rsidRPr="0075133B">
        <w:rPr>
          <w:szCs w:val="22"/>
        </w:rPr>
        <w:t>Les entités affiliées à un demandeur peuvent donc être:</w:t>
      </w:r>
    </w:p>
    <w:p w14:paraId="5046BB80" w14:textId="77777777" w:rsidR="005E7A18" w:rsidRPr="0075133B" w:rsidRDefault="005E7A18" w:rsidP="00575041">
      <w:pPr>
        <w:numPr>
          <w:ilvl w:val="0"/>
          <w:numId w:val="37"/>
        </w:numPr>
        <w:spacing w:after="0" w:line="276" w:lineRule="auto"/>
        <w:ind w:left="1276" w:hanging="283"/>
        <w:rPr>
          <w:szCs w:val="22"/>
        </w:rPr>
      </w:pPr>
      <w:r w:rsidRPr="0075133B">
        <w:rPr>
          <w:szCs w:val="22"/>
        </w:rPr>
        <w:t>des entités contrôlées directement ou indirectement par le demandeur (filiales ou filiales de premier rang) ou contrôlées par une entité elle-même contrôlée par le demandeur (sous-filiales ou filiales de deuxième niveau). Ceci est valable pour les autres niveaux de contrôle;</w:t>
      </w:r>
    </w:p>
    <w:p w14:paraId="4493F5D7" w14:textId="77777777" w:rsidR="005E7A18" w:rsidRPr="0075133B" w:rsidRDefault="005E7A18" w:rsidP="00575041">
      <w:pPr>
        <w:numPr>
          <w:ilvl w:val="0"/>
          <w:numId w:val="37"/>
        </w:numPr>
        <w:spacing w:after="0" w:line="276" w:lineRule="auto"/>
        <w:ind w:left="1276" w:hanging="283"/>
        <w:rPr>
          <w:szCs w:val="22"/>
        </w:rPr>
      </w:pPr>
      <w:r w:rsidRPr="0075133B">
        <w:rPr>
          <w:szCs w:val="22"/>
        </w:rPr>
        <w:t>des entités contrôlant directement ou indirectement le demandeur (sociétés mères). De la même façon, il peut s’agir d’entités contrôlant une compagnie contrôlant le demandeur;</w:t>
      </w:r>
    </w:p>
    <w:p w14:paraId="7B4B18DC" w14:textId="77777777" w:rsidR="005E7A18" w:rsidRPr="0075133B" w:rsidRDefault="005E7A18" w:rsidP="00575041">
      <w:pPr>
        <w:numPr>
          <w:ilvl w:val="0"/>
          <w:numId w:val="37"/>
        </w:numPr>
        <w:spacing w:after="0" w:line="276" w:lineRule="auto"/>
        <w:ind w:left="1276" w:hanging="283"/>
        <w:rPr>
          <w:szCs w:val="22"/>
        </w:rPr>
      </w:pPr>
      <w:r w:rsidRPr="0075133B">
        <w:rPr>
          <w:szCs w:val="22"/>
        </w:rPr>
        <w:t>des entités au même niveau de contrôle direct ou indirect que le demandeur (sociétés sœurs);</w:t>
      </w:r>
    </w:p>
    <w:p w14:paraId="0B05B55F" w14:textId="77777777" w:rsidR="005E7A18" w:rsidRPr="0075133B" w:rsidRDefault="005E7A18" w:rsidP="005E7A18">
      <w:pPr>
        <w:spacing w:after="0" w:line="276" w:lineRule="auto"/>
        <w:ind w:left="720" w:hanging="578"/>
        <w:rPr>
          <w:szCs w:val="22"/>
        </w:rPr>
      </w:pPr>
      <w:r w:rsidRPr="0075133B">
        <w:rPr>
          <w:szCs w:val="22"/>
        </w:rPr>
        <w:t xml:space="preserve">ii) </w:t>
      </w:r>
      <w:r w:rsidRPr="0075133B">
        <w:rPr>
          <w:szCs w:val="22"/>
        </w:rPr>
        <w:tab/>
        <w:t>l’adhésion, c’est-à-dire que le demandeur est juridiquement défini comme, par exemple, un réseau, une fédération ou une association dont l’entité affiliée proposée est membre, ou bien le demandeur est membre de la même entité (par exemple, un réseau, une fédération ou une association,</w:t>
      </w:r>
      <w:r w:rsidR="00107FD9" w:rsidRPr="0075133B">
        <w:rPr>
          <w:szCs w:val="22"/>
        </w:rPr>
        <w:t>…</w:t>
      </w:r>
      <w:r w:rsidRPr="0075133B">
        <w:rPr>
          <w:szCs w:val="22"/>
        </w:rPr>
        <w:t>) que l’entité affiliée proposée.</w:t>
      </w:r>
    </w:p>
    <w:p w14:paraId="750BC451" w14:textId="77777777" w:rsidR="005E7A18" w:rsidRPr="0075133B" w:rsidRDefault="005E7A18" w:rsidP="005E7A18">
      <w:pPr>
        <w:spacing w:after="0" w:line="276" w:lineRule="auto"/>
        <w:rPr>
          <w:szCs w:val="22"/>
        </w:rPr>
      </w:pPr>
    </w:p>
    <w:p w14:paraId="5F774A37" w14:textId="77777777" w:rsidR="005E7A18" w:rsidRPr="0075133B" w:rsidRDefault="005E7A18" w:rsidP="005E7A18">
      <w:pPr>
        <w:spacing w:after="0" w:line="276" w:lineRule="auto"/>
        <w:rPr>
          <w:szCs w:val="22"/>
        </w:rPr>
      </w:pPr>
      <w:r w:rsidRPr="0075133B">
        <w:rPr>
          <w:szCs w:val="22"/>
        </w:rPr>
        <w:t>Le lien structurel ne doit pas être limité à l’action ni établi seulement pour la mettre en œuvre. Il doit exister indépendamment de l’attribution de la subvention. Cela signifie que ce lien pourrait exister avant l’appel à propositions et rester valide une fois l’action terminée.</w:t>
      </w:r>
    </w:p>
    <w:p w14:paraId="7E67044E" w14:textId="77777777" w:rsidR="005E7A18" w:rsidRPr="0075133B" w:rsidRDefault="005E7A18" w:rsidP="005E7A18">
      <w:pPr>
        <w:spacing w:after="0" w:line="276" w:lineRule="auto"/>
        <w:ind w:left="720"/>
        <w:rPr>
          <w:szCs w:val="22"/>
        </w:rPr>
      </w:pPr>
    </w:p>
    <w:p w14:paraId="511D2CDB" w14:textId="2F1322A9" w:rsidR="005E7A18" w:rsidRPr="0075133B" w:rsidRDefault="005E7A18" w:rsidP="005E7A18">
      <w:pPr>
        <w:spacing w:line="276" w:lineRule="auto"/>
        <w:rPr>
          <w:szCs w:val="22"/>
        </w:rPr>
      </w:pPr>
      <w:r w:rsidRPr="0075133B">
        <w:rPr>
          <w:szCs w:val="22"/>
        </w:rPr>
        <w:lastRenderedPageBreak/>
        <w:t>À titre exceptionnel, une entité peut être considérée comme affiliée à un demandeur même si le lien structurel a été établi aux seules fins de la mise en œu</w:t>
      </w:r>
      <w:r w:rsidR="00A848FC">
        <w:rPr>
          <w:szCs w:val="22"/>
        </w:rPr>
        <w:t xml:space="preserve">vre de l’action, dans le cas de </w:t>
      </w:r>
      <w:r w:rsidRPr="0075133B">
        <w:rPr>
          <w:szCs w:val="22"/>
        </w:rPr>
        <w:t xml:space="preserve">«demandeurs uniques» </w:t>
      </w:r>
      <w:r w:rsidR="007179DD" w:rsidRPr="0075133B">
        <w:rPr>
          <w:szCs w:val="22"/>
        </w:rPr>
        <w:t xml:space="preserve">ou de «bénéficiaires uniques». </w:t>
      </w:r>
      <w:r w:rsidRPr="0075133B">
        <w:rPr>
          <w:szCs w:val="22"/>
        </w:rPr>
        <w:t>Un demandeur unique ou un bénéficiaire unique est une entité juridique formée de plusieurs entités ou groupe d’entités qui satisfont ensemble aux critères d’attribution de la subvention. Par exemple, une association est formée de ses membres.</w:t>
      </w:r>
    </w:p>
    <w:p w14:paraId="674EA599" w14:textId="77777777" w:rsidR="005E7A18" w:rsidRPr="0075133B" w:rsidRDefault="005E7A18" w:rsidP="00575041">
      <w:pPr>
        <w:pStyle w:val="Heading5"/>
        <w:numPr>
          <w:ilvl w:val="1"/>
          <w:numId w:val="16"/>
        </w:numPr>
        <w:tabs>
          <w:tab w:val="num" w:pos="0"/>
        </w:tabs>
        <w:spacing w:line="276" w:lineRule="auto"/>
        <w:rPr>
          <w:rFonts w:ascii="Times New Roman" w:hAnsi="Times New Roman"/>
          <w:szCs w:val="22"/>
          <w:u w:val="single"/>
        </w:rPr>
      </w:pPr>
      <w:r w:rsidRPr="0075133B">
        <w:rPr>
          <w:rFonts w:ascii="Times New Roman" w:hAnsi="Times New Roman"/>
          <w:szCs w:val="22"/>
          <w:u w:val="single"/>
        </w:rPr>
        <w:t xml:space="preserve">Qui ne peut pas être une entité affiliée? </w:t>
      </w:r>
    </w:p>
    <w:p w14:paraId="4F33C8D4" w14:textId="77777777" w:rsidR="005E7A18" w:rsidRPr="0075133B" w:rsidRDefault="005E7A18" w:rsidP="005E7A18">
      <w:pPr>
        <w:spacing w:after="0"/>
        <w:rPr>
          <w:szCs w:val="22"/>
        </w:rPr>
      </w:pPr>
    </w:p>
    <w:p w14:paraId="10AC5C96" w14:textId="77777777" w:rsidR="005E7A18" w:rsidRPr="0075133B" w:rsidRDefault="005E7A18" w:rsidP="005E7A18">
      <w:pPr>
        <w:spacing w:after="0"/>
        <w:rPr>
          <w:szCs w:val="22"/>
        </w:rPr>
      </w:pPr>
      <w:r w:rsidRPr="0075133B">
        <w:rPr>
          <w:szCs w:val="22"/>
        </w:rPr>
        <w:t>Les entités suivantes ne peuvent pas être considérées comme affiliées à un demandeur:</w:t>
      </w:r>
    </w:p>
    <w:p w14:paraId="3F68ABBA" w14:textId="77777777" w:rsidR="005E7A18" w:rsidRPr="0075133B" w:rsidRDefault="005E7A18" w:rsidP="005E7A18">
      <w:pPr>
        <w:spacing w:after="0" w:line="276" w:lineRule="auto"/>
        <w:rPr>
          <w:szCs w:val="22"/>
        </w:rPr>
      </w:pPr>
    </w:p>
    <w:p w14:paraId="2D90D21E" w14:textId="77777777" w:rsidR="005E7A18" w:rsidRPr="0075133B" w:rsidRDefault="005E7A18" w:rsidP="00575041">
      <w:pPr>
        <w:numPr>
          <w:ilvl w:val="0"/>
          <w:numId w:val="38"/>
        </w:numPr>
        <w:spacing w:after="0" w:line="276" w:lineRule="auto"/>
        <w:rPr>
          <w:szCs w:val="22"/>
        </w:rPr>
      </w:pPr>
      <w:r w:rsidRPr="0075133B">
        <w:rPr>
          <w:szCs w:val="22"/>
        </w:rPr>
        <w:t>les attributaires d’un marché lancé par un demandeur, ou ses sous-traitants, les entités à qui un service public est délégué ou concédé pour le compte d’un demandeur;</w:t>
      </w:r>
    </w:p>
    <w:p w14:paraId="27D990AE" w14:textId="77777777" w:rsidR="005E7A18" w:rsidRPr="0075133B" w:rsidRDefault="005E7A18" w:rsidP="00575041">
      <w:pPr>
        <w:numPr>
          <w:ilvl w:val="0"/>
          <w:numId w:val="38"/>
        </w:numPr>
        <w:spacing w:after="0" w:line="276" w:lineRule="auto"/>
        <w:rPr>
          <w:szCs w:val="22"/>
        </w:rPr>
      </w:pPr>
      <w:r w:rsidRPr="0075133B">
        <w:rPr>
          <w:szCs w:val="22"/>
        </w:rPr>
        <w:t>les entités qui perçoivent un soutien financier de la part du demandeur;</w:t>
      </w:r>
    </w:p>
    <w:p w14:paraId="60903D7F" w14:textId="77777777" w:rsidR="005E7A18" w:rsidRPr="0075133B" w:rsidRDefault="005E7A18" w:rsidP="00575041">
      <w:pPr>
        <w:numPr>
          <w:ilvl w:val="0"/>
          <w:numId w:val="38"/>
        </w:numPr>
        <w:spacing w:after="0" w:line="276" w:lineRule="auto"/>
        <w:rPr>
          <w:szCs w:val="22"/>
        </w:rPr>
      </w:pPr>
      <w:r w:rsidRPr="0075133B">
        <w:rPr>
          <w:szCs w:val="22"/>
        </w:rPr>
        <w:t>celles qui collaborent régulièrement avec un demandeur sur la base d’un protocole d’accord ou qui partagent des actifs;</w:t>
      </w:r>
    </w:p>
    <w:p w14:paraId="18942C9F" w14:textId="77777777" w:rsidR="005E7A18" w:rsidRPr="0075133B" w:rsidRDefault="005E7A18" w:rsidP="00575041">
      <w:pPr>
        <w:numPr>
          <w:ilvl w:val="0"/>
          <w:numId w:val="38"/>
        </w:numPr>
        <w:spacing w:after="0" w:line="276" w:lineRule="auto"/>
        <w:rPr>
          <w:szCs w:val="22"/>
        </w:rPr>
      </w:pPr>
      <w:r w:rsidRPr="0075133B">
        <w:rPr>
          <w:szCs w:val="22"/>
        </w:rPr>
        <w:t>les entités qui ont signé un accord de consortium dans le cadre du contrat de subvention (sauf si cet accord de consortium conduit à la création d’un «demandeur unique» tel que décrit ci-dessus).</w:t>
      </w:r>
    </w:p>
    <w:p w14:paraId="0780906E" w14:textId="77777777" w:rsidR="005E7A18" w:rsidRPr="0075133B" w:rsidRDefault="005E7A18" w:rsidP="005E7A18">
      <w:pPr>
        <w:spacing w:after="0" w:line="276" w:lineRule="auto"/>
        <w:rPr>
          <w:szCs w:val="22"/>
        </w:rPr>
      </w:pPr>
    </w:p>
    <w:p w14:paraId="6A317612" w14:textId="77777777" w:rsidR="005E7A18" w:rsidRPr="0075133B" w:rsidRDefault="005E7A18" w:rsidP="005E7A18">
      <w:pPr>
        <w:spacing w:after="0" w:line="276" w:lineRule="auto"/>
        <w:rPr>
          <w:szCs w:val="22"/>
          <w:u w:val="single"/>
        </w:rPr>
      </w:pPr>
      <w:r w:rsidRPr="0075133B">
        <w:rPr>
          <w:szCs w:val="22"/>
          <w:u w:val="single"/>
        </w:rPr>
        <w:t>Comment vérifier l’existence du lien requis avec un demandeur?</w:t>
      </w:r>
    </w:p>
    <w:p w14:paraId="068B6D87" w14:textId="77777777" w:rsidR="005E7A18" w:rsidRPr="0075133B" w:rsidRDefault="005E7A18" w:rsidP="005E7A18">
      <w:pPr>
        <w:spacing w:after="0"/>
        <w:rPr>
          <w:szCs w:val="22"/>
        </w:rPr>
      </w:pPr>
    </w:p>
    <w:p w14:paraId="2DF5977B" w14:textId="77777777" w:rsidR="005E7A18" w:rsidRPr="0075133B" w:rsidRDefault="005E7A18" w:rsidP="005E7A18">
      <w:pPr>
        <w:spacing w:after="0" w:line="276" w:lineRule="auto"/>
        <w:ind w:left="8"/>
        <w:rPr>
          <w:szCs w:val="22"/>
        </w:rPr>
      </w:pPr>
      <w:r w:rsidRPr="0075133B">
        <w:rPr>
          <w:szCs w:val="22"/>
        </w:rPr>
        <w:t>L’affiliation résultant d’une relation de contrôle peut être établie en particulier sur la base des comptes consolidés de groupe auquel appartiennent le demandeur et l’entité affiliée proposée.</w:t>
      </w:r>
    </w:p>
    <w:p w14:paraId="41C10F71" w14:textId="77777777" w:rsidR="005E7A18" w:rsidRPr="0075133B" w:rsidRDefault="005E7A18" w:rsidP="005E7A18">
      <w:pPr>
        <w:spacing w:after="0" w:line="276" w:lineRule="auto"/>
        <w:rPr>
          <w:szCs w:val="22"/>
        </w:rPr>
      </w:pPr>
    </w:p>
    <w:p w14:paraId="267A4003" w14:textId="77777777" w:rsidR="005E7A18" w:rsidRPr="0075133B" w:rsidRDefault="005E7A18" w:rsidP="005E7A18">
      <w:pPr>
        <w:spacing w:after="0" w:line="276" w:lineRule="auto"/>
        <w:rPr>
          <w:szCs w:val="22"/>
        </w:rPr>
      </w:pPr>
      <w:r w:rsidRPr="0075133B">
        <w:rPr>
          <w:szCs w:val="22"/>
        </w:rPr>
        <w:t>Celle résultant d’une adhésion peut être établie en particulier sur la base des statuts (ou tout acte constitutif équivalent) définissant le demandeur comme un réseau, une fédération ou une association auquel ou auquel/à laquelle le demandeur participe.</w:t>
      </w:r>
    </w:p>
    <w:p w14:paraId="3AF68463" w14:textId="77777777" w:rsidR="00F012FD" w:rsidRPr="0075133B" w:rsidRDefault="007261B1" w:rsidP="006B6048">
      <w:pPr>
        <w:rPr>
          <w:szCs w:val="22"/>
        </w:rPr>
      </w:pPr>
      <w:r w:rsidRPr="0075133B">
        <w:rPr>
          <w:szCs w:val="22"/>
        </w:rPr>
        <w:t>Si un contrat de subvention est attribué aux demandeurs, leurs entité(s) affiliée(s) ne deviendront ni bénéficiaires de l’action ni signataires du contrat. Toutefois elles participent à la définition et à la mise en œuvre de l’action et les coûts qu’elles encourent (notamment ceux relatifs aux marchés de mise en œuvre et au soutien financier aux tiers et aux sous-traitants) peuvent être éligibles à la condition de respecter les règles pertinentes applicables au(x) bénéficiaire(s) en vertu du contrat de subvention.</w:t>
      </w:r>
    </w:p>
    <w:p w14:paraId="1E41A6E1" w14:textId="77777777" w:rsidR="00A33882" w:rsidRPr="0075133B" w:rsidRDefault="00914462" w:rsidP="007261B1">
      <w:pPr>
        <w:rPr>
          <w:szCs w:val="22"/>
        </w:rPr>
      </w:pPr>
      <w:r w:rsidRPr="0075133B">
        <w:rPr>
          <w:szCs w:val="22"/>
        </w:rPr>
        <w:t>Les entités affiliées doivent satisfaire aux mêmes critères d’éligibilité que ceux applicables au demandeur che</w:t>
      </w:r>
      <w:r w:rsidR="007179DD" w:rsidRPr="0075133B">
        <w:rPr>
          <w:szCs w:val="22"/>
        </w:rPr>
        <w:t xml:space="preserve">f de file ou aux codemandeurs. </w:t>
      </w:r>
      <w:r w:rsidRPr="0075133B">
        <w:rPr>
          <w:szCs w:val="22"/>
        </w:rPr>
        <w:t>Elles doivent par ailleurs signer la déclaration disponible à l’annexe A.2, section 5, du formulaire de demande de subvention.</w:t>
      </w:r>
    </w:p>
    <w:p w14:paraId="57ABC234" w14:textId="77777777" w:rsidR="00F06309" w:rsidRPr="0075133B" w:rsidRDefault="00F06309" w:rsidP="00BF7926">
      <w:pPr>
        <w:pStyle w:val="Guidelines3"/>
        <w:rPr>
          <w:sz w:val="22"/>
          <w:szCs w:val="22"/>
        </w:rPr>
      </w:pPr>
      <w:bookmarkStart w:id="22" w:name="_Toc380145061"/>
      <w:bookmarkStart w:id="23" w:name="_Toc74830950"/>
      <w:bookmarkStart w:id="24" w:name="_Toc179890130"/>
      <w:bookmarkStart w:id="25" w:name="_Toc182404630"/>
      <w:bookmarkEnd w:id="22"/>
      <w:r w:rsidRPr="0075133B">
        <w:rPr>
          <w:sz w:val="22"/>
          <w:szCs w:val="22"/>
        </w:rPr>
        <w:t>Associés et contractants</w:t>
      </w:r>
      <w:bookmarkEnd w:id="23"/>
      <w:bookmarkEnd w:id="24"/>
      <w:bookmarkEnd w:id="25"/>
    </w:p>
    <w:p w14:paraId="73463521" w14:textId="77777777" w:rsidR="00F06309" w:rsidRPr="0075133B" w:rsidRDefault="00F06309" w:rsidP="00F06309">
      <w:pPr>
        <w:spacing w:before="240"/>
        <w:rPr>
          <w:szCs w:val="22"/>
        </w:rPr>
      </w:pPr>
      <w:r w:rsidRPr="0075133B">
        <w:rPr>
          <w:szCs w:val="22"/>
        </w:rPr>
        <w:t>Les entités suivantes ne sont ni des demandeurs ni des entités affiliées. Elles n’ont pas à signer le «mandat pour codemandeur(s)» ou la «déclaration d’entité affiliée»:</w:t>
      </w:r>
    </w:p>
    <w:p w14:paraId="677136EF" w14:textId="77777777" w:rsidR="00F06309" w:rsidRPr="0075133B" w:rsidRDefault="00F06309" w:rsidP="00575041">
      <w:pPr>
        <w:numPr>
          <w:ilvl w:val="0"/>
          <w:numId w:val="22"/>
        </w:numPr>
        <w:rPr>
          <w:szCs w:val="22"/>
        </w:rPr>
      </w:pPr>
      <w:r w:rsidRPr="0075133B">
        <w:rPr>
          <w:szCs w:val="22"/>
        </w:rPr>
        <w:t>Associés</w:t>
      </w:r>
    </w:p>
    <w:p w14:paraId="7D556A14" w14:textId="7859163A" w:rsidR="00F06309" w:rsidRPr="0075133B" w:rsidRDefault="00F06309" w:rsidP="00F06309">
      <w:pPr>
        <w:rPr>
          <w:szCs w:val="22"/>
        </w:rPr>
      </w:pPr>
      <w:r w:rsidRPr="0075133B">
        <w:rPr>
          <w:szCs w:val="22"/>
        </w:rPr>
        <w:t>D’autres organisations ou personnes peuvent être associées à l’action. Les associés participent effectivement à l’action, mais ne peuvent prétendre à bénéficier de la subvention, à l’exception des per diems et des frais de déplacement. Ils ne sont pas tenus de répondre aux critères d’éligibilité mentionnés à la section 2.1.1. Les associés doivent être mentionnés dans l’annexe A.2, section 4, du formulaire de demande de subvention, intitulée</w:t>
      </w:r>
      <w:r w:rsidR="00A848FC" w:rsidRPr="0075133B">
        <w:rPr>
          <w:szCs w:val="22"/>
        </w:rPr>
        <w:t xml:space="preserve"> « Associés</w:t>
      </w:r>
      <w:r w:rsidRPr="0075133B">
        <w:rPr>
          <w:szCs w:val="22"/>
        </w:rPr>
        <w:t xml:space="preserve"> participant à </w:t>
      </w:r>
      <w:r w:rsidR="00A848FC" w:rsidRPr="0075133B">
        <w:rPr>
          <w:szCs w:val="22"/>
        </w:rPr>
        <w:t>l’action »</w:t>
      </w:r>
      <w:r w:rsidRPr="0075133B">
        <w:rPr>
          <w:szCs w:val="22"/>
        </w:rPr>
        <w:t xml:space="preserve">. </w:t>
      </w:r>
    </w:p>
    <w:p w14:paraId="50D379C0" w14:textId="77777777" w:rsidR="00103811" w:rsidRPr="0075133B" w:rsidRDefault="00103811" w:rsidP="00575041">
      <w:pPr>
        <w:numPr>
          <w:ilvl w:val="0"/>
          <w:numId w:val="22"/>
        </w:numPr>
        <w:rPr>
          <w:szCs w:val="22"/>
        </w:rPr>
      </w:pPr>
      <w:r w:rsidRPr="0075133B">
        <w:rPr>
          <w:szCs w:val="22"/>
        </w:rPr>
        <w:lastRenderedPageBreak/>
        <w:t>Contractants</w:t>
      </w:r>
    </w:p>
    <w:p w14:paraId="5BF29796" w14:textId="77777777" w:rsidR="00F06309" w:rsidRPr="0075133B" w:rsidRDefault="00F06309" w:rsidP="00F06309">
      <w:pPr>
        <w:rPr>
          <w:szCs w:val="22"/>
        </w:rPr>
      </w:pPr>
      <w:r w:rsidRPr="0075133B">
        <w:rPr>
          <w:szCs w:val="22"/>
        </w:rPr>
        <w:t>Les bénéficiaires et leurs entités affiliées peuvent attribuer des marchés. Les associés ou les entités affiliées ne peuvent pas être en même temps des contractants du projet. Les contractants sont soumis aux règles de passation de marchés énoncées à l’annexe IV du contrat type de subvention.</w:t>
      </w:r>
    </w:p>
    <w:p w14:paraId="04AE315C" w14:textId="77777777" w:rsidR="0007408E" w:rsidRPr="0075133B" w:rsidRDefault="0007408E" w:rsidP="00BF7926">
      <w:pPr>
        <w:pStyle w:val="Guidelines3"/>
        <w:rPr>
          <w:sz w:val="22"/>
          <w:szCs w:val="22"/>
        </w:rPr>
      </w:pPr>
      <w:bookmarkStart w:id="26" w:name="_Toc380145063"/>
      <w:bookmarkStart w:id="27" w:name="_Toc380145064"/>
      <w:bookmarkStart w:id="28" w:name="_Toc74830951"/>
      <w:bookmarkStart w:id="29" w:name="_Toc179890131"/>
      <w:bookmarkStart w:id="30" w:name="_Toc182404631"/>
      <w:bookmarkEnd w:id="26"/>
      <w:bookmarkEnd w:id="27"/>
      <w:r w:rsidRPr="0075133B">
        <w:rPr>
          <w:sz w:val="22"/>
          <w:szCs w:val="22"/>
        </w:rPr>
        <w:t>Actions éligibles: pour quelles actions une demande peut-elle être présentée?</w:t>
      </w:r>
      <w:bookmarkEnd w:id="28"/>
      <w:bookmarkEnd w:id="29"/>
      <w:bookmarkEnd w:id="30"/>
    </w:p>
    <w:p w14:paraId="29A83E10" w14:textId="77777777" w:rsidR="009B41E2" w:rsidRPr="0075133B" w:rsidRDefault="002265E1" w:rsidP="006B6048">
      <w:pPr>
        <w:spacing w:before="240"/>
        <w:rPr>
          <w:szCs w:val="22"/>
        </w:rPr>
      </w:pPr>
      <w:r w:rsidRPr="0075133B">
        <w:rPr>
          <w:szCs w:val="22"/>
          <w:u w:val="single"/>
        </w:rPr>
        <w:t>Définition</w:t>
      </w:r>
      <w:r w:rsidRPr="0075133B">
        <w:rPr>
          <w:szCs w:val="22"/>
        </w:rPr>
        <w:t xml:space="preserve">: </w:t>
      </w:r>
    </w:p>
    <w:p w14:paraId="3661A2A9" w14:textId="77777777" w:rsidR="002265E1" w:rsidRPr="0075133B" w:rsidRDefault="00B5566D" w:rsidP="006B6048">
      <w:pPr>
        <w:rPr>
          <w:szCs w:val="22"/>
        </w:rPr>
      </w:pPr>
      <w:r w:rsidRPr="0075133B">
        <w:rPr>
          <w:szCs w:val="22"/>
        </w:rPr>
        <w:t>Une</w:t>
      </w:r>
      <w:r w:rsidR="002265E1" w:rsidRPr="0075133B">
        <w:rPr>
          <w:szCs w:val="22"/>
        </w:rPr>
        <w:t xml:space="preserve"> action se compose d’une série d’activités.</w:t>
      </w:r>
    </w:p>
    <w:p w14:paraId="5AAA05BC" w14:textId="77777777" w:rsidR="0007408E" w:rsidRPr="0075133B" w:rsidRDefault="0007408E" w:rsidP="006B6048">
      <w:pPr>
        <w:rPr>
          <w:szCs w:val="22"/>
          <w:u w:val="single"/>
        </w:rPr>
      </w:pPr>
      <w:r w:rsidRPr="0075133B">
        <w:rPr>
          <w:szCs w:val="22"/>
          <w:u w:val="single"/>
        </w:rPr>
        <w:t>Durée</w:t>
      </w:r>
    </w:p>
    <w:p w14:paraId="47AADD0E" w14:textId="77777777" w:rsidR="00CD2371" w:rsidRPr="0075133B" w:rsidRDefault="00CD2371" w:rsidP="006B6048">
      <w:pPr>
        <w:rPr>
          <w:szCs w:val="22"/>
        </w:rPr>
      </w:pPr>
      <w:r w:rsidRPr="0075133B">
        <w:rPr>
          <w:szCs w:val="22"/>
        </w:rPr>
        <w:t>Lot 1</w:t>
      </w:r>
    </w:p>
    <w:p w14:paraId="00EF412D" w14:textId="77777777" w:rsidR="0007408E" w:rsidRPr="0075133B" w:rsidRDefault="0007408E" w:rsidP="006B6048">
      <w:pPr>
        <w:rPr>
          <w:szCs w:val="22"/>
        </w:rPr>
      </w:pPr>
      <w:r w:rsidRPr="0075133B">
        <w:rPr>
          <w:szCs w:val="22"/>
        </w:rPr>
        <w:t xml:space="preserve">La durée initiale prévue d’une action ne peut pas être inférieure à </w:t>
      </w:r>
      <w:r w:rsidR="00CD2371" w:rsidRPr="0075133B">
        <w:rPr>
          <w:szCs w:val="22"/>
        </w:rPr>
        <w:t>36</w:t>
      </w:r>
      <w:r w:rsidR="00B5566D" w:rsidRPr="0075133B">
        <w:rPr>
          <w:szCs w:val="22"/>
        </w:rPr>
        <w:t xml:space="preserve"> </w:t>
      </w:r>
      <w:r w:rsidRPr="0075133B">
        <w:rPr>
          <w:szCs w:val="22"/>
        </w:rPr>
        <w:t xml:space="preserve">mois ni excéder </w:t>
      </w:r>
      <w:r w:rsidR="00CD2371" w:rsidRPr="0075133B">
        <w:rPr>
          <w:szCs w:val="22"/>
        </w:rPr>
        <w:t xml:space="preserve">48 </w:t>
      </w:r>
      <w:r w:rsidRPr="0075133B">
        <w:rPr>
          <w:szCs w:val="22"/>
        </w:rPr>
        <w:t>mois.</w:t>
      </w:r>
    </w:p>
    <w:p w14:paraId="75A3FBB7" w14:textId="77777777" w:rsidR="00CD2371" w:rsidRPr="0075133B" w:rsidRDefault="00CD2371" w:rsidP="006B6048">
      <w:pPr>
        <w:rPr>
          <w:szCs w:val="22"/>
        </w:rPr>
      </w:pPr>
      <w:r w:rsidRPr="0075133B">
        <w:rPr>
          <w:szCs w:val="22"/>
        </w:rPr>
        <w:t>Lot 2</w:t>
      </w:r>
    </w:p>
    <w:p w14:paraId="2EFC874E" w14:textId="77777777" w:rsidR="00CD2371" w:rsidRPr="0075133B" w:rsidRDefault="00CD2371" w:rsidP="00CD2371">
      <w:pPr>
        <w:rPr>
          <w:szCs w:val="22"/>
        </w:rPr>
      </w:pPr>
      <w:r w:rsidRPr="0075133B">
        <w:rPr>
          <w:szCs w:val="22"/>
        </w:rPr>
        <w:t>La durée initiale prévue d’une action ne peut pas être inférieure à</w:t>
      </w:r>
      <w:r w:rsidR="00107B30" w:rsidRPr="0075133B">
        <w:rPr>
          <w:szCs w:val="22"/>
        </w:rPr>
        <w:t xml:space="preserve"> 24</w:t>
      </w:r>
      <w:r w:rsidRPr="0075133B">
        <w:rPr>
          <w:szCs w:val="22"/>
        </w:rPr>
        <w:t xml:space="preserve"> mois ni excéder </w:t>
      </w:r>
      <w:r w:rsidR="00C1263C" w:rsidRPr="0075133B">
        <w:rPr>
          <w:szCs w:val="22"/>
        </w:rPr>
        <w:t>26 </w:t>
      </w:r>
      <w:r w:rsidRPr="0075133B">
        <w:rPr>
          <w:szCs w:val="22"/>
        </w:rPr>
        <w:t>mois.</w:t>
      </w:r>
    </w:p>
    <w:p w14:paraId="28DF890A" w14:textId="77777777" w:rsidR="0007408E" w:rsidRPr="0075133B" w:rsidRDefault="0007408E" w:rsidP="006B6048">
      <w:pPr>
        <w:rPr>
          <w:szCs w:val="22"/>
          <w:u w:val="single"/>
        </w:rPr>
      </w:pPr>
      <w:r w:rsidRPr="0075133B">
        <w:rPr>
          <w:szCs w:val="22"/>
          <w:u w:val="single"/>
        </w:rPr>
        <w:t>Secteurs ou thèmes</w:t>
      </w:r>
    </w:p>
    <w:p w14:paraId="229905F9" w14:textId="77777777" w:rsidR="00E1171D" w:rsidRPr="0075133B" w:rsidRDefault="00E1171D" w:rsidP="006B6048">
      <w:pPr>
        <w:rPr>
          <w:szCs w:val="22"/>
        </w:rPr>
      </w:pPr>
      <w:r w:rsidRPr="0075133B">
        <w:rPr>
          <w:szCs w:val="22"/>
        </w:rPr>
        <w:t xml:space="preserve">Lot1 </w:t>
      </w:r>
    </w:p>
    <w:p w14:paraId="6386E3EB" w14:textId="77777777" w:rsidR="006C52AA" w:rsidRPr="0075133B" w:rsidRDefault="006C52AA" w:rsidP="006C52AA">
      <w:pPr>
        <w:pStyle w:val="ListParagraph"/>
        <w:numPr>
          <w:ilvl w:val="0"/>
          <w:numId w:val="48"/>
        </w:numPr>
        <w:spacing w:after="160" w:line="259" w:lineRule="auto"/>
        <w:contextualSpacing/>
        <w:rPr>
          <w:szCs w:val="22"/>
        </w:rPr>
      </w:pPr>
      <w:r w:rsidRPr="0075133B">
        <w:rPr>
          <w:szCs w:val="22"/>
        </w:rPr>
        <w:t xml:space="preserve">Structuration et renforcement des capacités </w:t>
      </w:r>
      <w:r w:rsidR="00B5566D" w:rsidRPr="0075133B">
        <w:rPr>
          <w:szCs w:val="22"/>
        </w:rPr>
        <w:t>techniques et de production</w:t>
      </w:r>
      <w:r w:rsidRPr="0075133B">
        <w:rPr>
          <w:szCs w:val="22"/>
        </w:rPr>
        <w:t xml:space="preserve"> des organisations de jeunes et de femmes (priorité 3 de la feuille de route OSC) </w:t>
      </w:r>
      <w:r w:rsidRPr="00344F2D">
        <w:rPr>
          <w:szCs w:val="22"/>
        </w:rPr>
        <w:t>pour créer de la valeur, générer des emplois et encourager l’engagement socio-professionnel des jeunes au sein des communautés.</w:t>
      </w:r>
    </w:p>
    <w:p w14:paraId="48E28CA1" w14:textId="77777777" w:rsidR="006C52AA" w:rsidRPr="0075133B" w:rsidRDefault="006C52AA" w:rsidP="006C52AA">
      <w:pPr>
        <w:pStyle w:val="ListParagraph"/>
        <w:spacing w:after="160" w:line="259" w:lineRule="auto"/>
        <w:ind w:left="720"/>
        <w:contextualSpacing/>
        <w:rPr>
          <w:szCs w:val="22"/>
        </w:rPr>
      </w:pPr>
    </w:p>
    <w:p w14:paraId="3639E9A9" w14:textId="77777777" w:rsidR="00E1171D" w:rsidRPr="0075133B" w:rsidRDefault="00E1171D" w:rsidP="00575041">
      <w:pPr>
        <w:pStyle w:val="ListParagraph"/>
        <w:numPr>
          <w:ilvl w:val="0"/>
          <w:numId w:val="48"/>
        </w:numPr>
        <w:spacing w:after="160" w:line="259" w:lineRule="auto"/>
        <w:contextualSpacing/>
        <w:rPr>
          <w:b/>
          <w:szCs w:val="22"/>
        </w:rPr>
      </w:pPr>
      <w:r w:rsidRPr="0075133B">
        <w:rPr>
          <w:szCs w:val="22"/>
          <w:lang w:val="fr-BE"/>
        </w:rPr>
        <w:t>Soutien à l’</w:t>
      </w:r>
      <w:r w:rsidR="0098030A" w:rsidRPr="0075133B">
        <w:rPr>
          <w:szCs w:val="22"/>
          <w:lang w:val="fr-BE"/>
        </w:rPr>
        <w:t>entrepreneuriat</w:t>
      </w:r>
      <w:r w:rsidR="00BD5692" w:rsidRPr="0075133B">
        <w:rPr>
          <w:szCs w:val="22"/>
          <w:lang w:val="fr-BE"/>
        </w:rPr>
        <w:t xml:space="preserve"> </w:t>
      </w:r>
      <w:r w:rsidR="006C52AA" w:rsidRPr="0075133B">
        <w:rPr>
          <w:szCs w:val="22"/>
          <w:lang w:val="fr-BE"/>
        </w:rPr>
        <w:t xml:space="preserve">des jeunes et </w:t>
      </w:r>
      <w:r w:rsidR="00B5566D" w:rsidRPr="0075133B">
        <w:rPr>
          <w:szCs w:val="22"/>
          <w:lang w:val="fr-BE"/>
        </w:rPr>
        <w:t>à la création d’emplois dans l</w:t>
      </w:r>
      <w:r w:rsidR="00741AE2" w:rsidRPr="0075133B">
        <w:rPr>
          <w:szCs w:val="22"/>
          <w:lang w:val="fr-BE"/>
        </w:rPr>
        <w:t xml:space="preserve">es </w:t>
      </w:r>
      <w:r w:rsidR="00B5566D" w:rsidRPr="0075133B">
        <w:rPr>
          <w:szCs w:val="22"/>
          <w:lang w:val="fr-BE"/>
        </w:rPr>
        <w:t xml:space="preserve">zones </w:t>
      </w:r>
      <w:r w:rsidRPr="0075133B">
        <w:rPr>
          <w:szCs w:val="22"/>
          <w:lang w:val="fr-BE"/>
        </w:rPr>
        <w:t>rural</w:t>
      </w:r>
      <w:r w:rsidR="00B5566D" w:rsidRPr="0075133B">
        <w:rPr>
          <w:szCs w:val="22"/>
          <w:lang w:val="fr-BE"/>
        </w:rPr>
        <w:t>es</w:t>
      </w:r>
      <w:r w:rsidRPr="0075133B">
        <w:rPr>
          <w:szCs w:val="22"/>
          <w:lang w:val="fr-BE"/>
        </w:rPr>
        <w:t xml:space="preserve"> et périurbain</w:t>
      </w:r>
      <w:r w:rsidR="00BF3553" w:rsidRPr="0075133B">
        <w:rPr>
          <w:szCs w:val="22"/>
          <w:lang w:val="fr-BE"/>
        </w:rPr>
        <w:t>e</w:t>
      </w:r>
      <w:r w:rsidRPr="0075133B">
        <w:rPr>
          <w:szCs w:val="22"/>
          <w:lang w:val="fr-BE"/>
        </w:rPr>
        <w:t xml:space="preserve"> dans le secteur de la croissance verte et inclusive pour </w:t>
      </w:r>
      <w:r w:rsidR="005A423F" w:rsidRPr="0075133B">
        <w:rPr>
          <w:szCs w:val="22"/>
          <w:lang w:val="fr-BE"/>
        </w:rPr>
        <w:t xml:space="preserve">les </w:t>
      </w:r>
      <w:r w:rsidRPr="0075133B">
        <w:rPr>
          <w:szCs w:val="22"/>
          <w:lang w:val="fr-BE"/>
        </w:rPr>
        <w:t>chaines de valeur agricoles</w:t>
      </w:r>
      <w:r w:rsidR="00741AE2" w:rsidRPr="0075133B">
        <w:rPr>
          <w:szCs w:val="22"/>
          <w:lang w:val="fr-BE"/>
        </w:rPr>
        <w:t xml:space="preserve"> et /ou </w:t>
      </w:r>
      <w:r w:rsidR="00B25CBF" w:rsidRPr="0075133B">
        <w:rPr>
          <w:szCs w:val="22"/>
          <w:lang w:val="fr-BE"/>
        </w:rPr>
        <w:t>e</w:t>
      </w:r>
      <w:r w:rsidR="005A423F" w:rsidRPr="0075133B">
        <w:rPr>
          <w:szCs w:val="22"/>
          <w:lang w:val="fr-BE"/>
        </w:rPr>
        <w:t xml:space="preserve">ntrepreneuriat </w:t>
      </w:r>
      <w:r w:rsidR="00741AE2" w:rsidRPr="0075133B">
        <w:rPr>
          <w:szCs w:val="22"/>
          <w:lang w:val="fr-BE"/>
        </w:rPr>
        <w:t>non agricole en milieu rural</w:t>
      </w:r>
      <w:r w:rsidRPr="0075133B">
        <w:rPr>
          <w:szCs w:val="22"/>
          <w:lang w:val="fr-BE"/>
        </w:rPr>
        <w:t xml:space="preserve"> à travers les sociétés coopératives</w:t>
      </w:r>
      <w:r w:rsidR="005A423F" w:rsidRPr="0075133B">
        <w:rPr>
          <w:szCs w:val="22"/>
          <w:lang w:val="fr-BE"/>
        </w:rPr>
        <w:t xml:space="preserve">, </w:t>
      </w:r>
      <w:r w:rsidR="00BD5692" w:rsidRPr="0075133B">
        <w:rPr>
          <w:szCs w:val="22"/>
          <w:lang w:val="fr-BE"/>
        </w:rPr>
        <w:t xml:space="preserve">le développement </w:t>
      </w:r>
      <w:r w:rsidR="00741AE2" w:rsidRPr="0075133B">
        <w:rPr>
          <w:szCs w:val="22"/>
          <w:lang w:val="fr-BE"/>
        </w:rPr>
        <w:t>de très petites et moyennes entre</w:t>
      </w:r>
      <w:r w:rsidR="00BD5692" w:rsidRPr="0075133B">
        <w:rPr>
          <w:szCs w:val="22"/>
          <w:lang w:val="fr-BE"/>
        </w:rPr>
        <w:t xml:space="preserve">prises (TPME) </w:t>
      </w:r>
      <w:r w:rsidR="00741AE2" w:rsidRPr="0075133B">
        <w:rPr>
          <w:szCs w:val="22"/>
          <w:lang w:val="fr-BE"/>
        </w:rPr>
        <w:t>prior</w:t>
      </w:r>
      <w:r w:rsidRPr="0075133B">
        <w:rPr>
          <w:szCs w:val="22"/>
          <w:lang w:val="fr-BE"/>
        </w:rPr>
        <w:t>ité 2.2.1 de la</w:t>
      </w:r>
      <w:r w:rsidR="00BD5692" w:rsidRPr="0075133B">
        <w:rPr>
          <w:szCs w:val="22"/>
          <w:lang w:val="fr-BE"/>
        </w:rPr>
        <w:t xml:space="preserve"> feuille de route OSC 2021-2024</w:t>
      </w:r>
    </w:p>
    <w:p w14:paraId="66C5C4D2" w14:textId="77777777" w:rsidR="00E1171D" w:rsidRPr="0075133B" w:rsidRDefault="00E1171D" w:rsidP="006B6048">
      <w:pPr>
        <w:rPr>
          <w:szCs w:val="22"/>
        </w:rPr>
      </w:pPr>
      <w:r w:rsidRPr="0075133B">
        <w:rPr>
          <w:szCs w:val="22"/>
        </w:rPr>
        <w:t>Lot 2</w:t>
      </w:r>
    </w:p>
    <w:p w14:paraId="4C1C909E" w14:textId="77777777" w:rsidR="00E04F85" w:rsidRPr="0075133B" w:rsidRDefault="006B579C" w:rsidP="008F7AAD">
      <w:pPr>
        <w:pStyle w:val="ListParagraph"/>
        <w:numPr>
          <w:ilvl w:val="0"/>
          <w:numId w:val="53"/>
        </w:numPr>
        <w:spacing w:after="160" w:line="259" w:lineRule="auto"/>
        <w:contextualSpacing/>
        <w:rPr>
          <w:szCs w:val="22"/>
        </w:rPr>
      </w:pPr>
      <w:r w:rsidRPr="0075133B">
        <w:rPr>
          <w:szCs w:val="22"/>
        </w:rPr>
        <w:t xml:space="preserve">Faciliter </w:t>
      </w:r>
      <w:r w:rsidR="0062725F" w:rsidRPr="0075133B">
        <w:rPr>
          <w:szCs w:val="22"/>
        </w:rPr>
        <w:t>l’</w:t>
      </w:r>
      <w:r w:rsidR="00E1171D" w:rsidRPr="0075133B">
        <w:rPr>
          <w:szCs w:val="22"/>
        </w:rPr>
        <w:t xml:space="preserve">accès </w:t>
      </w:r>
      <w:r w:rsidR="008F7AAD" w:rsidRPr="0075133B">
        <w:rPr>
          <w:szCs w:val="22"/>
        </w:rPr>
        <w:t xml:space="preserve">de la jeunesse </w:t>
      </w:r>
      <w:r w:rsidR="00E1171D" w:rsidRPr="0075133B">
        <w:rPr>
          <w:szCs w:val="22"/>
        </w:rPr>
        <w:t>au</w:t>
      </w:r>
      <w:r w:rsidR="008F7AAD" w:rsidRPr="0075133B">
        <w:rPr>
          <w:szCs w:val="22"/>
        </w:rPr>
        <w:t>x</w:t>
      </w:r>
      <w:r w:rsidR="00E1171D" w:rsidRPr="0075133B">
        <w:rPr>
          <w:szCs w:val="22"/>
        </w:rPr>
        <w:t xml:space="preserve"> </w:t>
      </w:r>
      <w:r w:rsidR="0062725F" w:rsidRPr="0075133B">
        <w:rPr>
          <w:szCs w:val="22"/>
        </w:rPr>
        <w:t>centre</w:t>
      </w:r>
      <w:r w:rsidR="008F7AAD" w:rsidRPr="0075133B">
        <w:rPr>
          <w:szCs w:val="22"/>
        </w:rPr>
        <w:t>s</w:t>
      </w:r>
      <w:r w:rsidR="0062725F" w:rsidRPr="0075133B">
        <w:rPr>
          <w:szCs w:val="22"/>
        </w:rPr>
        <w:t xml:space="preserve"> sportif</w:t>
      </w:r>
      <w:r w:rsidR="008F7AAD" w:rsidRPr="0075133B">
        <w:rPr>
          <w:szCs w:val="22"/>
        </w:rPr>
        <w:t>s</w:t>
      </w:r>
      <w:r w:rsidR="00E04F85" w:rsidRPr="0075133B">
        <w:rPr>
          <w:szCs w:val="22"/>
        </w:rPr>
        <w:t>,</w:t>
      </w:r>
      <w:r w:rsidR="0062725F" w:rsidRPr="0075133B">
        <w:rPr>
          <w:szCs w:val="22"/>
        </w:rPr>
        <w:t xml:space="preserve"> aux </w:t>
      </w:r>
      <w:r w:rsidR="00E04F85" w:rsidRPr="0075133B">
        <w:rPr>
          <w:szCs w:val="22"/>
        </w:rPr>
        <w:t>centres culturels</w:t>
      </w:r>
      <w:r w:rsidR="008F7AAD" w:rsidRPr="0075133B">
        <w:rPr>
          <w:szCs w:val="22"/>
        </w:rPr>
        <w:t>,</w:t>
      </w:r>
      <w:r w:rsidR="0062725F" w:rsidRPr="0075133B">
        <w:rPr>
          <w:szCs w:val="22"/>
        </w:rPr>
        <w:t xml:space="preserve"> au </w:t>
      </w:r>
      <w:r w:rsidR="00E04F85" w:rsidRPr="0075133B">
        <w:rPr>
          <w:szCs w:val="22"/>
        </w:rPr>
        <w:t>théâtre</w:t>
      </w:r>
      <w:r w:rsidR="008F7AAD" w:rsidRPr="0075133B">
        <w:rPr>
          <w:szCs w:val="22"/>
        </w:rPr>
        <w:t>,</w:t>
      </w:r>
      <w:r w:rsidR="0062725F" w:rsidRPr="0075133B">
        <w:rPr>
          <w:szCs w:val="22"/>
        </w:rPr>
        <w:t xml:space="preserve"> </w:t>
      </w:r>
      <w:r w:rsidR="008F7AAD" w:rsidRPr="0075133B">
        <w:rPr>
          <w:szCs w:val="22"/>
        </w:rPr>
        <w:t xml:space="preserve">au </w:t>
      </w:r>
      <w:r w:rsidR="0062725F" w:rsidRPr="0075133B">
        <w:rPr>
          <w:szCs w:val="22"/>
        </w:rPr>
        <w:t>cinéma</w:t>
      </w:r>
    </w:p>
    <w:p w14:paraId="7EE4DF8D" w14:textId="77777777" w:rsidR="00BC2456" w:rsidRPr="0075133B" w:rsidRDefault="006B579C" w:rsidP="008F7AAD">
      <w:pPr>
        <w:pStyle w:val="ListParagraph"/>
        <w:numPr>
          <w:ilvl w:val="0"/>
          <w:numId w:val="53"/>
        </w:numPr>
        <w:spacing w:after="160" w:line="259" w:lineRule="auto"/>
        <w:contextualSpacing/>
        <w:rPr>
          <w:szCs w:val="22"/>
        </w:rPr>
      </w:pPr>
      <w:r w:rsidRPr="0075133B">
        <w:rPr>
          <w:szCs w:val="22"/>
        </w:rPr>
        <w:t xml:space="preserve">Soutien aux </w:t>
      </w:r>
      <w:r w:rsidR="00E836D2" w:rsidRPr="0075133B">
        <w:rPr>
          <w:szCs w:val="22"/>
        </w:rPr>
        <w:t>évènements</w:t>
      </w:r>
      <w:r w:rsidRPr="0075133B">
        <w:rPr>
          <w:szCs w:val="22"/>
        </w:rPr>
        <w:t xml:space="preserve"> sportif</w:t>
      </w:r>
      <w:r w:rsidR="00E836D2" w:rsidRPr="0075133B">
        <w:rPr>
          <w:szCs w:val="22"/>
        </w:rPr>
        <w:t>s</w:t>
      </w:r>
      <w:r w:rsidRPr="0075133B">
        <w:rPr>
          <w:szCs w:val="22"/>
        </w:rPr>
        <w:t xml:space="preserve"> et culturels </w:t>
      </w:r>
      <w:r w:rsidR="008C1C36" w:rsidRPr="0075133B">
        <w:rPr>
          <w:szCs w:val="22"/>
        </w:rPr>
        <w:t>qui ciblent</w:t>
      </w:r>
      <w:r w:rsidRPr="0075133B">
        <w:rPr>
          <w:szCs w:val="22"/>
        </w:rPr>
        <w:t xml:space="preserve"> la jeunesse</w:t>
      </w:r>
      <w:r w:rsidR="00E1171D" w:rsidRPr="0075133B">
        <w:rPr>
          <w:szCs w:val="22"/>
        </w:rPr>
        <w:t xml:space="preserve"> </w:t>
      </w:r>
    </w:p>
    <w:p w14:paraId="2D61227A" w14:textId="77777777" w:rsidR="00E1171D" w:rsidRPr="0075133B" w:rsidRDefault="006B579C" w:rsidP="008F7AAD">
      <w:pPr>
        <w:pStyle w:val="ListParagraph"/>
        <w:numPr>
          <w:ilvl w:val="0"/>
          <w:numId w:val="53"/>
        </w:numPr>
        <w:spacing w:after="160" w:line="259" w:lineRule="auto"/>
        <w:contextualSpacing/>
        <w:rPr>
          <w:szCs w:val="22"/>
        </w:rPr>
      </w:pPr>
      <w:r w:rsidRPr="0075133B">
        <w:rPr>
          <w:szCs w:val="22"/>
        </w:rPr>
        <w:t xml:space="preserve">Favoriser </w:t>
      </w:r>
      <w:r w:rsidR="00923D3B" w:rsidRPr="0075133B">
        <w:rPr>
          <w:szCs w:val="22"/>
        </w:rPr>
        <w:t>la diffusion d</w:t>
      </w:r>
      <w:r w:rsidRPr="0075133B">
        <w:rPr>
          <w:szCs w:val="22"/>
        </w:rPr>
        <w:t xml:space="preserve">’information sur l’amélioration des conditions des jeunes filles et </w:t>
      </w:r>
      <w:r w:rsidR="00923D3B" w:rsidRPr="0075133B">
        <w:rPr>
          <w:szCs w:val="22"/>
        </w:rPr>
        <w:t>femmes</w:t>
      </w:r>
      <w:r w:rsidR="008F7AAD" w:rsidRPr="0075133B">
        <w:rPr>
          <w:szCs w:val="22"/>
        </w:rPr>
        <w:t xml:space="preserve">, notamment afin de lutter </w:t>
      </w:r>
      <w:r w:rsidR="00923D3B" w:rsidRPr="0075133B">
        <w:rPr>
          <w:szCs w:val="22"/>
        </w:rPr>
        <w:t xml:space="preserve">contre </w:t>
      </w:r>
      <w:r w:rsidRPr="0075133B">
        <w:rPr>
          <w:szCs w:val="22"/>
        </w:rPr>
        <w:t xml:space="preserve">toute forme de violence </w:t>
      </w:r>
      <w:r w:rsidR="008F7AAD" w:rsidRPr="0075133B">
        <w:rPr>
          <w:szCs w:val="22"/>
        </w:rPr>
        <w:t>basée sur le genre</w:t>
      </w:r>
    </w:p>
    <w:p w14:paraId="02747EB6" w14:textId="77777777" w:rsidR="00B82D84" w:rsidRPr="0075133B" w:rsidRDefault="00B82D84" w:rsidP="008F7AAD">
      <w:pPr>
        <w:pStyle w:val="ListParagraph"/>
        <w:numPr>
          <w:ilvl w:val="0"/>
          <w:numId w:val="53"/>
        </w:numPr>
        <w:spacing w:after="160" w:line="259" w:lineRule="auto"/>
        <w:contextualSpacing/>
        <w:rPr>
          <w:szCs w:val="22"/>
        </w:rPr>
      </w:pPr>
      <w:r w:rsidRPr="0075133B">
        <w:rPr>
          <w:szCs w:val="22"/>
        </w:rPr>
        <w:t>Soutien</w:t>
      </w:r>
      <w:r w:rsidRPr="0075133B">
        <w:rPr>
          <w:szCs w:val="22"/>
          <w:lang w:val="fr-BE"/>
        </w:rPr>
        <w:t xml:space="preserve"> aux initiatives renforçant le</w:t>
      </w:r>
      <w:r w:rsidR="0005306F" w:rsidRPr="0075133B">
        <w:rPr>
          <w:szCs w:val="22"/>
          <w:lang w:val="fr-BE"/>
        </w:rPr>
        <w:t>s</w:t>
      </w:r>
      <w:r w:rsidRPr="0075133B">
        <w:rPr>
          <w:szCs w:val="22"/>
          <w:lang w:val="fr-BE"/>
        </w:rPr>
        <w:t xml:space="preserve"> droit</w:t>
      </w:r>
      <w:r w:rsidR="0005306F" w:rsidRPr="0075133B">
        <w:rPr>
          <w:szCs w:val="22"/>
          <w:lang w:val="fr-BE"/>
        </w:rPr>
        <w:t>s</w:t>
      </w:r>
      <w:r w:rsidRPr="0075133B">
        <w:rPr>
          <w:szCs w:val="22"/>
          <w:lang w:val="fr-BE"/>
        </w:rPr>
        <w:t xml:space="preserve"> des jeunes filles et </w:t>
      </w:r>
      <w:r w:rsidR="0005306F" w:rsidRPr="0075133B">
        <w:rPr>
          <w:szCs w:val="22"/>
          <w:lang w:val="fr-BE"/>
        </w:rPr>
        <w:t xml:space="preserve">des </w:t>
      </w:r>
      <w:r w:rsidRPr="0075133B">
        <w:rPr>
          <w:szCs w:val="22"/>
          <w:lang w:val="fr-BE"/>
        </w:rPr>
        <w:t>femmes</w:t>
      </w:r>
    </w:p>
    <w:p w14:paraId="57E55E59" w14:textId="77777777" w:rsidR="008F7AAD" w:rsidRPr="0075133B" w:rsidRDefault="008F7AAD" w:rsidP="008F7AAD">
      <w:pPr>
        <w:pStyle w:val="ListParagraph"/>
        <w:numPr>
          <w:ilvl w:val="0"/>
          <w:numId w:val="53"/>
        </w:numPr>
        <w:spacing w:after="160" w:line="259" w:lineRule="auto"/>
        <w:contextualSpacing/>
        <w:rPr>
          <w:szCs w:val="22"/>
        </w:rPr>
      </w:pPr>
      <w:r w:rsidRPr="0075133B">
        <w:rPr>
          <w:szCs w:val="22"/>
        </w:rPr>
        <w:t>Développement des valeurs citoyennes et de respect de l’environnement au sein de la jeunesse</w:t>
      </w:r>
    </w:p>
    <w:p w14:paraId="15616E4D" w14:textId="77777777" w:rsidR="008F7AAD" w:rsidRPr="0075133B" w:rsidRDefault="008F7AAD" w:rsidP="008F7AAD">
      <w:pPr>
        <w:pStyle w:val="ListParagraph"/>
        <w:numPr>
          <w:ilvl w:val="0"/>
          <w:numId w:val="53"/>
        </w:numPr>
        <w:spacing w:after="160" w:line="259" w:lineRule="auto"/>
        <w:contextualSpacing/>
        <w:rPr>
          <w:szCs w:val="22"/>
        </w:rPr>
      </w:pPr>
      <w:r w:rsidRPr="0075133B">
        <w:rPr>
          <w:szCs w:val="22"/>
        </w:rPr>
        <w:t>Accroissement de la représentation de la jeunesse dans les instances politiques de représentation et/ou exécutives</w:t>
      </w:r>
    </w:p>
    <w:p w14:paraId="55D13E03" w14:textId="77777777" w:rsidR="0007408E" w:rsidRPr="0075133B" w:rsidRDefault="0007408E" w:rsidP="006B6048">
      <w:pPr>
        <w:rPr>
          <w:szCs w:val="22"/>
          <w:u w:val="single"/>
        </w:rPr>
      </w:pPr>
      <w:r w:rsidRPr="0075133B">
        <w:rPr>
          <w:szCs w:val="22"/>
          <w:u w:val="single"/>
        </w:rPr>
        <w:t>Lieu d’exécution</w:t>
      </w:r>
    </w:p>
    <w:p w14:paraId="5744E237" w14:textId="77777777" w:rsidR="00E1171D" w:rsidRPr="0075133B" w:rsidRDefault="0007408E" w:rsidP="006B6048">
      <w:pPr>
        <w:rPr>
          <w:szCs w:val="22"/>
        </w:rPr>
      </w:pPr>
      <w:r w:rsidRPr="0075133B">
        <w:rPr>
          <w:szCs w:val="22"/>
        </w:rPr>
        <w:t xml:space="preserve">Les actions doivent être mises en œuvre </w:t>
      </w:r>
      <w:r w:rsidR="00C4333E" w:rsidRPr="0075133B">
        <w:rPr>
          <w:szCs w:val="22"/>
        </w:rPr>
        <w:t>au Sénégal, précisément dans les régions suivantes</w:t>
      </w:r>
      <w:r w:rsidRPr="0075133B">
        <w:rPr>
          <w:szCs w:val="22"/>
        </w:rPr>
        <w:t xml:space="preserve"> : </w:t>
      </w:r>
    </w:p>
    <w:p w14:paraId="08A72BC1" w14:textId="77777777" w:rsidR="00BC02BC" w:rsidRPr="0075133B" w:rsidRDefault="00E1171D" w:rsidP="006B6048">
      <w:pPr>
        <w:rPr>
          <w:szCs w:val="22"/>
        </w:rPr>
      </w:pPr>
      <w:r w:rsidRPr="0075133B">
        <w:rPr>
          <w:szCs w:val="22"/>
        </w:rPr>
        <w:t>Lot 1</w:t>
      </w:r>
      <w:r w:rsidR="002A003B" w:rsidRPr="0075133B">
        <w:rPr>
          <w:szCs w:val="22"/>
        </w:rPr>
        <w:t> :</w:t>
      </w:r>
      <w:r w:rsidRPr="0075133B">
        <w:rPr>
          <w:szCs w:val="22"/>
        </w:rPr>
        <w:t xml:space="preserve"> Régions de Sédhiou, Ziguinchor et Kolda</w:t>
      </w:r>
    </w:p>
    <w:p w14:paraId="10464171" w14:textId="77777777" w:rsidR="0007408E" w:rsidRPr="0075133B" w:rsidRDefault="002A003B" w:rsidP="006B6048">
      <w:pPr>
        <w:rPr>
          <w:szCs w:val="22"/>
        </w:rPr>
      </w:pPr>
      <w:r w:rsidRPr="0075133B">
        <w:rPr>
          <w:szCs w:val="22"/>
        </w:rPr>
        <w:t>Lot 2 : To</w:t>
      </w:r>
      <w:r w:rsidR="00BC02BC" w:rsidRPr="0075133B">
        <w:rPr>
          <w:szCs w:val="22"/>
        </w:rPr>
        <w:t xml:space="preserve">talité du territoire national </w:t>
      </w:r>
      <w:r w:rsidR="00BC2456" w:rsidRPr="0075133B">
        <w:rPr>
          <w:szCs w:val="22"/>
        </w:rPr>
        <w:t>avec une sensibilité particulière pour</w:t>
      </w:r>
      <w:r w:rsidR="0062725F" w:rsidRPr="0075133B">
        <w:rPr>
          <w:szCs w:val="22"/>
        </w:rPr>
        <w:t xml:space="preserve"> les régions hors</w:t>
      </w:r>
      <w:r w:rsidR="008F7AAD" w:rsidRPr="0075133B">
        <w:rPr>
          <w:szCs w:val="22"/>
        </w:rPr>
        <w:t xml:space="preserve"> de</w:t>
      </w:r>
      <w:r w:rsidR="0062725F" w:rsidRPr="0075133B">
        <w:rPr>
          <w:szCs w:val="22"/>
        </w:rPr>
        <w:t xml:space="preserve"> Dakar</w:t>
      </w:r>
    </w:p>
    <w:p w14:paraId="7249339C" w14:textId="77777777" w:rsidR="00AA4D6D" w:rsidRPr="0075133B" w:rsidRDefault="00AA4D6D" w:rsidP="006B6048">
      <w:pPr>
        <w:rPr>
          <w:szCs w:val="22"/>
        </w:rPr>
      </w:pPr>
    </w:p>
    <w:p w14:paraId="7D4DE446" w14:textId="77777777" w:rsidR="00430D7D" w:rsidRPr="0075133B" w:rsidRDefault="00430D7D" w:rsidP="006B6048">
      <w:pPr>
        <w:rPr>
          <w:szCs w:val="22"/>
          <w:u w:val="single"/>
        </w:rPr>
      </w:pPr>
    </w:p>
    <w:p w14:paraId="303B5455" w14:textId="77777777" w:rsidR="0007408E" w:rsidRPr="0075133B" w:rsidRDefault="0007408E" w:rsidP="006B6048">
      <w:pPr>
        <w:rPr>
          <w:szCs w:val="22"/>
          <w:u w:val="single"/>
        </w:rPr>
      </w:pPr>
      <w:r w:rsidRPr="0075133B">
        <w:rPr>
          <w:szCs w:val="22"/>
          <w:u w:val="single"/>
        </w:rPr>
        <w:t>Types d’action</w:t>
      </w:r>
    </w:p>
    <w:p w14:paraId="13740302" w14:textId="77777777" w:rsidR="00111415" w:rsidRPr="0075133B" w:rsidRDefault="00111415" w:rsidP="00111415">
      <w:pPr>
        <w:rPr>
          <w:szCs w:val="22"/>
        </w:rPr>
      </w:pPr>
      <w:r w:rsidRPr="0075133B">
        <w:rPr>
          <w:szCs w:val="22"/>
        </w:rPr>
        <w:t>Cet appel vise à soutenir des actions de développement des capacités d’action et de gestion des OSC, à la mise en réseaux des OSC agissant sur les thèmes similaires, à initier le développement de services et de facilités pour les jeunes travailleurs/entrepreneurs précaires, et à favoriser l’insertion socio-professionnelle des jeunes déjà formés et désireux de travailler</w:t>
      </w:r>
      <w:r w:rsidR="00923D3B" w:rsidRPr="0075133B">
        <w:rPr>
          <w:szCs w:val="22"/>
        </w:rPr>
        <w:t xml:space="preserve"> en entreprise, ou d’entreprendre</w:t>
      </w:r>
      <w:r w:rsidRPr="0075133B">
        <w:rPr>
          <w:szCs w:val="22"/>
        </w:rPr>
        <w:t xml:space="preserve">. </w:t>
      </w:r>
      <w:r w:rsidR="00FC0BEF" w:rsidRPr="0075133B">
        <w:rPr>
          <w:szCs w:val="22"/>
        </w:rPr>
        <w:t>C</w:t>
      </w:r>
      <w:r w:rsidRPr="0075133B">
        <w:rPr>
          <w:szCs w:val="22"/>
        </w:rPr>
        <w:t xml:space="preserve">et appel vise également à accompagner le secteur privé dans un processus d'élargissement et d’inclusion des jeunes acteurs performants du tissu économique sénégalais. </w:t>
      </w:r>
      <w:r w:rsidR="00FC0BEF" w:rsidRPr="0075133B">
        <w:rPr>
          <w:szCs w:val="22"/>
        </w:rPr>
        <w:t>Enfin, cet appel vise à soutenir les activités mentionnées en faveur des jeunes sénégalais, afin d’accroître la participation de la jeunesse à la vie publique et répondre aux autres défis et aspirations sociales de la jeunesse, en particulier des jeunes filles et femmes.</w:t>
      </w:r>
    </w:p>
    <w:p w14:paraId="64A4151A" w14:textId="77777777" w:rsidR="00E1397C" w:rsidRPr="0075133B" w:rsidRDefault="00E1397C" w:rsidP="00E1397C">
      <w:pPr>
        <w:rPr>
          <w:szCs w:val="22"/>
        </w:rPr>
      </w:pPr>
      <w:r w:rsidRPr="0075133B">
        <w:rPr>
          <w:szCs w:val="22"/>
        </w:rPr>
        <w:t>Les types d’action suivants ne sont pas éligibles:</w:t>
      </w:r>
    </w:p>
    <w:p w14:paraId="05CA7B30" w14:textId="77777777" w:rsidR="00E1397C" w:rsidRPr="0075133B" w:rsidRDefault="00E1397C" w:rsidP="00575041">
      <w:pPr>
        <w:numPr>
          <w:ilvl w:val="0"/>
          <w:numId w:val="22"/>
        </w:numPr>
        <w:rPr>
          <w:szCs w:val="22"/>
        </w:rPr>
      </w:pPr>
      <w:r w:rsidRPr="0075133B">
        <w:rPr>
          <w:szCs w:val="22"/>
        </w:rPr>
        <w:t>actions consistant uniquement ou principalement à parrainer la participation de particuliers à des ateliers, séminaires, conférences et congrès;</w:t>
      </w:r>
    </w:p>
    <w:p w14:paraId="43E493C3" w14:textId="77777777" w:rsidR="00E1397C" w:rsidRPr="0075133B" w:rsidRDefault="00E1397C" w:rsidP="00575041">
      <w:pPr>
        <w:numPr>
          <w:ilvl w:val="0"/>
          <w:numId w:val="22"/>
        </w:numPr>
        <w:rPr>
          <w:szCs w:val="22"/>
        </w:rPr>
      </w:pPr>
      <w:r w:rsidRPr="0075133B">
        <w:rPr>
          <w:szCs w:val="22"/>
        </w:rPr>
        <w:t>actions consistant uniquement ou principalement à financer des bourses individuelles d’études ou de formation;</w:t>
      </w:r>
    </w:p>
    <w:p w14:paraId="330589F0" w14:textId="77777777" w:rsidR="004D7B57" w:rsidRPr="0075133B" w:rsidRDefault="004D7B57" w:rsidP="006B6048">
      <w:pPr>
        <w:rPr>
          <w:szCs w:val="22"/>
          <w:u w:val="single"/>
        </w:rPr>
      </w:pPr>
      <w:r w:rsidRPr="0075133B">
        <w:rPr>
          <w:szCs w:val="22"/>
          <w:u w:val="single"/>
        </w:rPr>
        <w:t>Types d’activité</w:t>
      </w:r>
      <w:r w:rsidR="00D61733" w:rsidRPr="0075133B">
        <w:rPr>
          <w:szCs w:val="22"/>
          <w:u w:val="single"/>
        </w:rPr>
        <w:t xml:space="preserve"> (non exhaustif) </w:t>
      </w:r>
    </w:p>
    <w:p w14:paraId="18784EC5" w14:textId="77777777" w:rsidR="00111415" w:rsidRPr="0075133B" w:rsidRDefault="00111415" w:rsidP="00111415">
      <w:pPr>
        <w:rPr>
          <w:szCs w:val="22"/>
        </w:rPr>
      </w:pPr>
      <w:r w:rsidRPr="0075133B">
        <w:rPr>
          <w:szCs w:val="22"/>
        </w:rPr>
        <w:t>Lot 1</w:t>
      </w:r>
    </w:p>
    <w:p w14:paraId="5A728826" w14:textId="77777777" w:rsidR="00FC0BEF" w:rsidRPr="0075133B" w:rsidRDefault="00111415" w:rsidP="00221A12">
      <w:pPr>
        <w:spacing w:after="0"/>
        <w:rPr>
          <w:szCs w:val="22"/>
          <w:lang w:val="fr-BE"/>
        </w:rPr>
      </w:pPr>
      <w:r w:rsidRPr="0075133B">
        <w:rPr>
          <w:szCs w:val="22"/>
          <w:lang w:val="fr-BE"/>
        </w:rPr>
        <w:t>-</w:t>
      </w:r>
      <w:r w:rsidRPr="0075133B">
        <w:rPr>
          <w:snapToGrid w:val="0"/>
          <w:szCs w:val="22"/>
          <w:lang w:val="fr-BE"/>
        </w:rPr>
        <w:t xml:space="preserve"> </w:t>
      </w:r>
      <w:r w:rsidR="002A003B" w:rsidRPr="0075133B">
        <w:rPr>
          <w:snapToGrid w:val="0"/>
          <w:szCs w:val="22"/>
          <w:lang w:val="fr-BE"/>
        </w:rPr>
        <w:t xml:space="preserve"> </w:t>
      </w:r>
      <w:r w:rsidR="003D40DE" w:rsidRPr="0075133B">
        <w:rPr>
          <w:snapToGrid w:val="0"/>
          <w:szCs w:val="22"/>
          <w:lang w:val="fr-BE"/>
        </w:rPr>
        <w:t>Soutien au secteur privé local, en particulier les entreprises portées par des organisations de jeunes des territoires</w:t>
      </w:r>
      <w:r w:rsidR="00AA4D6D" w:rsidRPr="0075133B">
        <w:rPr>
          <w:snapToGrid w:val="0"/>
          <w:szCs w:val="22"/>
          <w:lang w:val="fr-BE"/>
        </w:rPr>
        <w:t xml:space="preserve"> ciblés</w:t>
      </w:r>
      <w:r w:rsidR="00FC0BEF" w:rsidRPr="0075133B">
        <w:rPr>
          <w:snapToGrid w:val="0"/>
          <w:szCs w:val="22"/>
          <w:lang w:val="fr-BE"/>
        </w:rPr>
        <w:t>,</w:t>
      </w:r>
      <w:r w:rsidR="00AA4D6D" w:rsidRPr="0075133B">
        <w:rPr>
          <w:snapToGrid w:val="0"/>
          <w:szCs w:val="22"/>
          <w:lang w:val="fr-BE"/>
        </w:rPr>
        <w:t xml:space="preserve"> et r</w:t>
      </w:r>
      <w:r w:rsidR="003D40DE" w:rsidRPr="0075133B">
        <w:rPr>
          <w:snapToGrid w:val="0"/>
          <w:szCs w:val="22"/>
          <w:lang w:val="fr-BE"/>
        </w:rPr>
        <w:t xml:space="preserve">enforcement des capacités en </w:t>
      </w:r>
      <w:r w:rsidR="0098030A" w:rsidRPr="0075133B">
        <w:rPr>
          <w:snapToGrid w:val="0"/>
          <w:szCs w:val="22"/>
          <w:lang w:val="fr-BE"/>
        </w:rPr>
        <w:t>entrepreneuriat</w:t>
      </w:r>
      <w:r w:rsidR="003D40DE" w:rsidRPr="0075133B">
        <w:rPr>
          <w:snapToGrid w:val="0"/>
          <w:szCs w:val="22"/>
          <w:lang w:val="fr-BE"/>
        </w:rPr>
        <w:t xml:space="preserve"> </w:t>
      </w:r>
      <w:r w:rsidR="003D40DE" w:rsidRPr="0075133B">
        <w:rPr>
          <w:szCs w:val="22"/>
          <w:lang w:val="fr-BE"/>
        </w:rPr>
        <w:t>social</w:t>
      </w:r>
      <w:r w:rsidR="00AA4D6D" w:rsidRPr="0075133B">
        <w:rPr>
          <w:szCs w:val="22"/>
          <w:lang w:val="fr-BE"/>
        </w:rPr>
        <w:t>,</w:t>
      </w:r>
      <w:r w:rsidR="003D40DE" w:rsidRPr="0075133B">
        <w:rPr>
          <w:szCs w:val="22"/>
          <w:lang w:val="fr-BE"/>
        </w:rPr>
        <w:t xml:space="preserve"> solidaire </w:t>
      </w:r>
      <w:r w:rsidR="00AA4D6D" w:rsidRPr="0075133B">
        <w:rPr>
          <w:szCs w:val="22"/>
          <w:lang w:val="fr-BE"/>
        </w:rPr>
        <w:t xml:space="preserve">et </w:t>
      </w:r>
      <w:r w:rsidR="003D40DE" w:rsidRPr="0075133B">
        <w:rPr>
          <w:szCs w:val="22"/>
          <w:lang w:val="fr-BE"/>
        </w:rPr>
        <w:t>coopératif</w:t>
      </w:r>
      <w:r w:rsidR="003D40DE" w:rsidRPr="0075133B">
        <w:rPr>
          <w:snapToGrid w:val="0"/>
          <w:szCs w:val="22"/>
          <w:lang w:val="fr-BE"/>
        </w:rPr>
        <w:t xml:space="preserve"> des jeunes garçons et filles, notamment à travers </w:t>
      </w:r>
      <w:r w:rsidR="00040A22" w:rsidRPr="0075133B">
        <w:rPr>
          <w:snapToGrid w:val="0"/>
          <w:szCs w:val="22"/>
          <w:lang w:val="fr-BE"/>
        </w:rPr>
        <w:t xml:space="preserve">(i) </w:t>
      </w:r>
      <w:r w:rsidR="003D40DE" w:rsidRPr="0075133B">
        <w:rPr>
          <w:snapToGrid w:val="0"/>
          <w:szCs w:val="22"/>
          <w:lang w:val="fr-BE"/>
        </w:rPr>
        <w:t>la di</w:t>
      </w:r>
      <w:r w:rsidR="00D61733" w:rsidRPr="0075133B">
        <w:rPr>
          <w:snapToGrid w:val="0"/>
          <w:szCs w:val="22"/>
          <w:lang w:val="fr-BE"/>
        </w:rPr>
        <w:t>gitalisation de leurs activités</w:t>
      </w:r>
      <w:r w:rsidR="00040A22" w:rsidRPr="0075133B">
        <w:rPr>
          <w:snapToGrid w:val="0"/>
          <w:szCs w:val="22"/>
          <w:lang w:val="fr-BE"/>
        </w:rPr>
        <w:t xml:space="preserve"> ; (ii) </w:t>
      </w:r>
      <w:r w:rsidR="00040A22" w:rsidRPr="0075133B">
        <w:rPr>
          <w:szCs w:val="22"/>
          <w:lang w:val="fr-BE"/>
        </w:rPr>
        <w:t>Organisation des sessions de renforcement de capacité en entrepreneuriat et crédibilisation des projets d’entrepreneuriat;</w:t>
      </w:r>
    </w:p>
    <w:p w14:paraId="76DDF690" w14:textId="77777777" w:rsidR="00FC0BEF" w:rsidRPr="0075133B" w:rsidRDefault="00FC0BEF" w:rsidP="00221A12">
      <w:pPr>
        <w:spacing w:after="0"/>
        <w:rPr>
          <w:szCs w:val="22"/>
          <w:lang w:val="fr-BE"/>
        </w:rPr>
      </w:pPr>
    </w:p>
    <w:p w14:paraId="3C48ED92" w14:textId="3F85695E" w:rsidR="00040A22" w:rsidRPr="0075133B" w:rsidRDefault="003D40DE" w:rsidP="00221A12">
      <w:pPr>
        <w:spacing w:after="0"/>
        <w:rPr>
          <w:snapToGrid w:val="0"/>
          <w:szCs w:val="22"/>
          <w:lang w:val="fr-BE"/>
        </w:rPr>
      </w:pPr>
      <w:r w:rsidRPr="0075133B">
        <w:rPr>
          <w:snapToGrid w:val="0"/>
          <w:szCs w:val="22"/>
          <w:lang w:val="fr-BE"/>
        </w:rPr>
        <w:t xml:space="preserve">- </w:t>
      </w:r>
      <w:r w:rsidR="002A003B" w:rsidRPr="0075133B">
        <w:rPr>
          <w:snapToGrid w:val="0"/>
          <w:szCs w:val="22"/>
          <w:lang w:val="fr-BE"/>
        </w:rPr>
        <w:t xml:space="preserve">Développement </w:t>
      </w:r>
      <w:r w:rsidR="003A6B29" w:rsidRPr="0075133B">
        <w:rPr>
          <w:snapToGrid w:val="0"/>
          <w:szCs w:val="22"/>
          <w:lang w:val="fr-BE"/>
        </w:rPr>
        <w:t>d’alliance</w:t>
      </w:r>
      <w:r w:rsidR="00CC67B5" w:rsidRPr="0075133B">
        <w:rPr>
          <w:snapToGrid w:val="0"/>
          <w:szCs w:val="22"/>
          <w:lang w:val="fr-BE"/>
        </w:rPr>
        <w:t xml:space="preserve">s entre la société civile, </w:t>
      </w:r>
      <w:r w:rsidR="00D53532" w:rsidRPr="0075133B">
        <w:rPr>
          <w:snapToGrid w:val="0"/>
          <w:szCs w:val="22"/>
          <w:lang w:val="fr-BE"/>
        </w:rPr>
        <w:t>l</w:t>
      </w:r>
      <w:r w:rsidR="00774FB5" w:rsidRPr="0075133B">
        <w:rPr>
          <w:snapToGrid w:val="0"/>
          <w:szCs w:val="22"/>
          <w:lang w:val="fr-BE"/>
        </w:rPr>
        <w:t xml:space="preserve">es </w:t>
      </w:r>
      <w:r w:rsidR="00D53532" w:rsidRPr="0075133B">
        <w:rPr>
          <w:snapToGrid w:val="0"/>
          <w:szCs w:val="22"/>
          <w:lang w:val="fr-BE"/>
        </w:rPr>
        <w:t xml:space="preserve">organisations professionnelles, </w:t>
      </w:r>
      <w:r w:rsidR="009D46D5" w:rsidRPr="0075133B">
        <w:rPr>
          <w:snapToGrid w:val="0"/>
          <w:szCs w:val="22"/>
          <w:lang w:val="fr-BE"/>
        </w:rPr>
        <w:t xml:space="preserve">le secteur privé local, </w:t>
      </w:r>
      <w:r w:rsidR="00CC67B5" w:rsidRPr="0075133B">
        <w:rPr>
          <w:snapToGrid w:val="0"/>
          <w:szCs w:val="22"/>
          <w:lang w:val="fr-BE"/>
        </w:rPr>
        <w:t>les éco</w:t>
      </w:r>
      <w:r w:rsidR="00716B63" w:rsidRPr="0075133B">
        <w:rPr>
          <w:snapToGrid w:val="0"/>
          <w:szCs w:val="22"/>
          <w:lang w:val="fr-BE"/>
        </w:rPr>
        <w:t>les /instituts/ateliers de formation aux métiers</w:t>
      </w:r>
      <w:r w:rsidR="00CC67B5" w:rsidRPr="0075133B">
        <w:rPr>
          <w:snapToGrid w:val="0"/>
          <w:szCs w:val="22"/>
          <w:lang w:val="fr-BE"/>
        </w:rPr>
        <w:t xml:space="preserve"> </w:t>
      </w:r>
      <w:r w:rsidR="00097D81" w:rsidRPr="0075133B">
        <w:rPr>
          <w:snapToGrid w:val="0"/>
          <w:szCs w:val="22"/>
          <w:lang w:val="fr-BE"/>
        </w:rPr>
        <w:t xml:space="preserve">pour le soutien </w:t>
      </w:r>
      <w:r w:rsidR="003A6B29" w:rsidRPr="0075133B">
        <w:rPr>
          <w:snapToGrid w:val="0"/>
          <w:szCs w:val="22"/>
          <w:lang w:val="fr-BE"/>
        </w:rPr>
        <w:t>d</w:t>
      </w:r>
      <w:r w:rsidR="00CC67B5" w:rsidRPr="0075133B">
        <w:rPr>
          <w:snapToGrid w:val="0"/>
          <w:szCs w:val="22"/>
          <w:lang w:val="fr-BE"/>
        </w:rPr>
        <w:t>’«</w:t>
      </w:r>
      <w:r w:rsidR="006D07B8" w:rsidRPr="0075133B">
        <w:rPr>
          <w:snapToGrid w:val="0"/>
          <w:szCs w:val="22"/>
          <w:lang w:val="fr-BE"/>
        </w:rPr>
        <w:t> alternance école</w:t>
      </w:r>
      <w:r w:rsidR="00097D81" w:rsidRPr="0075133B">
        <w:rPr>
          <w:snapToGrid w:val="0"/>
          <w:szCs w:val="22"/>
          <w:lang w:val="fr-BE"/>
        </w:rPr>
        <w:t>-</w:t>
      </w:r>
      <w:r w:rsidR="006D07B8" w:rsidRPr="0075133B">
        <w:rPr>
          <w:snapToGrid w:val="0"/>
          <w:szCs w:val="22"/>
          <w:lang w:val="fr-BE"/>
        </w:rPr>
        <w:t xml:space="preserve"> entreprise » pour des solutions aux </w:t>
      </w:r>
      <w:r w:rsidR="0002037C" w:rsidRPr="00344F2D">
        <w:rPr>
          <w:szCs w:val="22"/>
        </w:rPr>
        <w:t xml:space="preserve">« intensifier l’employabilité durable des jeunes » </w:t>
      </w:r>
      <w:r w:rsidR="006D07B8" w:rsidRPr="0075133B">
        <w:rPr>
          <w:snapToGrid w:val="0"/>
          <w:szCs w:val="22"/>
          <w:lang w:val="fr-BE"/>
        </w:rPr>
        <w:t>problèmes de formation professionnelle : formation</w:t>
      </w:r>
      <w:r w:rsidR="005835A7" w:rsidRPr="0075133B">
        <w:rPr>
          <w:snapToGrid w:val="0"/>
          <w:szCs w:val="22"/>
          <w:lang w:val="fr-BE"/>
        </w:rPr>
        <w:t>s</w:t>
      </w:r>
      <w:r w:rsidR="006D07B8" w:rsidRPr="0075133B">
        <w:rPr>
          <w:snapToGrid w:val="0"/>
          <w:szCs w:val="22"/>
          <w:lang w:val="fr-BE"/>
        </w:rPr>
        <w:t xml:space="preserve"> qualifiantes</w:t>
      </w:r>
      <w:r w:rsidR="005835A7" w:rsidRPr="0075133B">
        <w:rPr>
          <w:snapToGrid w:val="0"/>
          <w:szCs w:val="22"/>
          <w:lang w:val="fr-BE"/>
        </w:rPr>
        <w:t xml:space="preserve"> et adaptées aux besoins des entreprises locales, insertion, </w:t>
      </w:r>
      <w:r w:rsidR="006D07B8" w:rsidRPr="0075133B">
        <w:rPr>
          <w:snapToGrid w:val="0"/>
          <w:szCs w:val="22"/>
          <w:lang w:val="fr-BE"/>
        </w:rPr>
        <w:t xml:space="preserve">réception des </w:t>
      </w:r>
      <w:r w:rsidR="005835A7" w:rsidRPr="0075133B">
        <w:rPr>
          <w:snapToGrid w:val="0"/>
          <w:szCs w:val="22"/>
          <w:lang w:val="fr-BE"/>
        </w:rPr>
        <w:t xml:space="preserve">jeunes formés dans les </w:t>
      </w:r>
      <w:r w:rsidR="0069364A" w:rsidRPr="0075133B">
        <w:rPr>
          <w:snapToGrid w:val="0"/>
          <w:szCs w:val="22"/>
          <w:lang w:val="fr-BE"/>
        </w:rPr>
        <w:t>très petites et moyennes entreprises (TPME</w:t>
      </w:r>
      <w:r w:rsidR="00923D3B" w:rsidRPr="0075133B">
        <w:rPr>
          <w:snapToGrid w:val="0"/>
          <w:szCs w:val="22"/>
          <w:lang w:val="fr-BE"/>
        </w:rPr>
        <w:t>)</w:t>
      </w:r>
      <w:r w:rsidR="00221A12" w:rsidRPr="0075133B">
        <w:rPr>
          <w:snapToGrid w:val="0"/>
          <w:szCs w:val="22"/>
          <w:lang w:val="fr-BE"/>
        </w:rPr>
        <w:t>. Il s’agira</w:t>
      </w:r>
      <w:r w:rsidR="00774FB5" w:rsidRPr="0075133B">
        <w:rPr>
          <w:snapToGrid w:val="0"/>
          <w:szCs w:val="22"/>
          <w:lang w:val="fr-BE"/>
        </w:rPr>
        <w:t>,</w:t>
      </w:r>
      <w:r w:rsidR="00221A12" w:rsidRPr="0075133B">
        <w:rPr>
          <w:snapToGrid w:val="0"/>
          <w:szCs w:val="22"/>
          <w:lang w:val="fr-BE"/>
        </w:rPr>
        <w:t xml:space="preserve"> </w:t>
      </w:r>
      <w:r w:rsidR="00D53532" w:rsidRPr="0075133B">
        <w:rPr>
          <w:snapToGrid w:val="0"/>
          <w:szCs w:val="22"/>
          <w:lang w:val="fr-BE"/>
        </w:rPr>
        <w:t>entre autres</w:t>
      </w:r>
      <w:r w:rsidR="00774FB5" w:rsidRPr="0075133B">
        <w:rPr>
          <w:snapToGrid w:val="0"/>
          <w:szCs w:val="22"/>
          <w:lang w:val="fr-BE"/>
        </w:rPr>
        <w:t>,</w:t>
      </w:r>
      <w:r w:rsidR="00D53532" w:rsidRPr="0075133B">
        <w:rPr>
          <w:snapToGrid w:val="0"/>
          <w:szCs w:val="22"/>
          <w:lang w:val="fr-BE"/>
        </w:rPr>
        <w:t xml:space="preserve"> de : (i) i</w:t>
      </w:r>
      <w:r w:rsidR="00221A12" w:rsidRPr="0075133B">
        <w:rPr>
          <w:snapToGrid w:val="0"/>
          <w:szCs w:val="22"/>
          <w:lang w:val="fr-BE"/>
        </w:rPr>
        <w:t xml:space="preserve">dentifier les entreprises, les organismes de formation et les étudiants remplissant les critères de sélection définis pour le </w:t>
      </w:r>
      <w:r w:rsidR="00D53532" w:rsidRPr="0075133B">
        <w:rPr>
          <w:snapToGrid w:val="0"/>
          <w:szCs w:val="22"/>
          <w:lang w:val="fr-BE"/>
        </w:rPr>
        <w:t>programme d’alternance ; (ii) proposer des modules de formation spé</w:t>
      </w:r>
      <w:r w:rsidR="006038FB" w:rsidRPr="0075133B">
        <w:rPr>
          <w:snapToGrid w:val="0"/>
          <w:szCs w:val="22"/>
          <w:lang w:val="fr-BE"/>
        </w:rPr>
        <w:t>cifiques aux besoins des entrep</w:t>
      </w:r>
      <w:r w:rsidR="00D53532" w:rsidRPr="0075133B">
        <w:rPr>
          <w:snapToGrid w:val="0"/>
          <w:szCs w:val="22"/>
          <w:lang w:val="fr-BE"/>
        </w:rPr>
        <w:t>rises et TPME</w:t>
      </w:r>
      <w:r w:rsidR="00221A12" w:rsidRPr="0075133B">
        <w:rPr>
          <w:snapToGrid w:val="0"/>
          <w:szCs w:val="22"/>
          <w:lang w:val="fr-BE"/>
        </w:rPr>
        <w:t xml:space="preserve"> ; (iii) Coordonner la signature des conventions d’alternance entre les entreprises, organismes de formation, et</w:t>
      </w:r>
      <w:r w:rsidR="008509D4" w:rsidRPr="0075133B">
        <w:rPr>
          <w:snapToGrid w:val="0"/>
          <w:szCs w:val="22"/>
          <w:lang w:val="fr-BE"/>
        </w:rPr>
        <w:t xml:space="preserve"> étudiants sélectionnés ; (iv) </w:t>
      </w:r>
      <w:r w:rsidR="00221A12" w:rsidRPr="0075133B">
        <w:rPr>
          <w:snapToGrid w:val="0"/>
          <w:szCs w:val="22"/>
          <w:lang w:val="fr-BE"/>
        </w:rPr>
        <w:t xml:space="preserve">Coordonner la mise en place et assurer le suivi régulier de la formation et de l’accompagnement des étudiants en coordination avec les organismes de formation et entreprises d’accueil selon les conditions prévues par les conventions de formation en alternance ; (v) </w:t>
      </w:r>
      <w:r w:rsidR="006038FB" w:rsidRPr="0075133B">
        <w:rPr>
          <w:snapToGrid w:val="0"/>
          <w:szCs w:val="22"/>
          <w:lang w:val="fr-BE"/>
        </w:rPr>
        <w:t xml:space="preserve">assurer la prise en charge des frais de formation </w:t>
      </w:r>
      <w:r w:rsidR="00221A12" w:rsidRPr="0075133B">
        <w:rPr>
          <w:snapToGrid w:val="0"/>
          <w:szCs w:val="22"/>
          <w:lang w:val="fr-BE"/>
        </w:rPr>
        <w:t xml:space="preserve">des étudiants auprès des organismes de formation, </w:t>
      </w:r>
      <w:r w:rsidR="00176B73" w:rsidRPr="0075133B">
        <w:rPr>
          <w:snapToGrid w:val="0"/>
          <w:szCs w:val="22"/>
          <w:lang w:val="fr-BE"/>
        </w:rPr>
        <w:t>(vi) proposer un dispositif de prise en charge des stagiaires en alternance au sein des entreprises d’accueil</w:t>
      </w:r>
      <w:r w:rsidR="006038FB" w:rsidRPr="0075133B">
        <w:rPr>
          <w:snapToGrid w:val="0"/>
          <w:szCs w:val="22"/>
          <w:lang w:val="fr-BE"/>
        </w:rPr>
        <w:t xml:space="preserve">, </w:t>
      </w:r>
      <w:r w:rsidR="00221A12" w:rsidRPr="0075133B">
        <w:rPr>
          <w:snapToGrid w:val="0"/>
          <w:szCs w:val="22"/>
          <w:lang w:val="fr-BE"/>
        </w:rPr>
        <w:t xml:space="preserve">l’indemnisation liée au temps de travail en entreprise étant </w:t>
      </w:r>
      <w:r w:rsidR="00176B73" w:rsidRPr="0075133B">
        <w:rPr>
          <w:snapToGrid w:val="0"/>
          <w:szCs w:val="22"/>
          <w:lang w:val="fr-BE"/>
        </w:rPr>
        <w:t xml:space="preserve"> partagé entre l’</w:t>
      </w:r>
      <w:r w:rsidR="00221A12" w:rsidRPr="0075133B">
        <w:rPr>
          <w:snapToGrid w:val="0"/>
          <w:szCs w:val="22"/>
          <w:lang w:val="fr-BE"/>
        </w:rPr>
        <w:t>entreprises</w:t>
      </w:r>
      <w:r w:rsidR="00176B73" w:rsidRPr="0075133B">
        <w:rPr>
          <w:snapToGrid w:val="0"/>
          <w:szCs w:val="22"/>
          <w:lang w:val="fr-BE"/>
        </w:rPr>
        <w:t xml:space="preserve"> et l’action ;  </w:t>
      </w:r>
      <w:r w:rsidR="00221A12" w:rsidRPr="0075133B">
        <w:rPr>
          <w:snapToGrid w:val="0"/>
          <w:szCs w:val="22"/>
          <w:lang w:val="fr-BE"/>
        </w:rPr>
        <w:t xml:space="preserve"> </w:t>
      </w:r>
    </w:p>
    <w:p w14:paraId="54CECC3C" w14:textId="77777777" w:rsidR="00040A22" w:rsidRPr="0075133B" w:rsidRDefault="00040A22" w:rsidP="00221A12">
      <w:pPr>
        <w:spacing w:after="0"/>
        <w:rPr>
          <w:snapToGrid w:val="0"/>
          <w:szCs w:val="22"/>
          <w:lang w:val="fr-BE"/>
        </w:rPr>
      </w:pPr>
    </w:p>
    <w:p w14:paraId="1C7DFD9B" w14:textId="04A9960A" w:rsidR="006D07B8" w:rsidRPr="0075133B" w:rsidRDefault="00111415" w:rsidP="00111415">
      <w:pPr>
        <w:autoSpaceDE w:val="0"/>
        <w:autoSpaceDN w:val="0"/>
        <w:adjustRightInd w:val="0"/>
        <w:rPr>
          <w:szCs w:val="22"/>
          <w:lang w:val="fr-BE"/>
        </w:rPr>
      </w:pPr>
      <w:r w:rsidRPr="0075133B">
        <w:rPr>
          <w:szCs w:val="22"/>
          <w:lang w:val="fr-BE"/>
        </w:rPr>
        <w:t xml:space="preserve">-  </w:t>
      </w:r>
      <w:r w:rsidR="009D46D5" w:rsidRPr="0075133B">
        <w:rPr>
          <w:szCs w:val="22"/>
          <w:lang w:val="fr-BE"/>
        </w:rPr>
        <w:t>S</w:t>
      </w:r>
      <w:r w:rsidRPr="0075133B">
        <w:rPr>
          <w:szCs w:val="22"/>
          <w:lang w:val="fr-BE"/>
        </w:rPr>
        <w:t>tructuration</w:t>
      </w:r>
      <w:r w:rsidR="009C0A1F" w:rsidRPr="0075133B">
        <w:rPr>
          <w:szCs w:val="22"/>
          <w:lang w:val="fr-BE"/>
        </w:rPr>
        <w:t xml:space="preserve"> (et création si besoin) </w:t>
      </w:r>
      <w:r w:rsidRPr="0075133B">
        <w:rPr>
          <w:szCs w:val="22"/>
          <w:lang w:val="fr-BE"/>
        </w:rPr>
        <w:t xml:space="preserve">de </w:t>
      </w:r>
      <w:r w:rsidR="006D07B8" w:rsidRPr="0075133B">
        <w:rPr>
          <w:szCs w:val="22"/>
          <w:lang w:val="fr-BE"/>
        </w:rPr>
        <w:t>consortia de jeunes entrepreneurs</w:t>
      </w:r>
      <w:r w:rsidR="0069364A" w:rsidRPr="0075133B">
        <w:rPr>
          <w:szCs w:val="22"/>
          <w:lang w:val="fr-BE"/>
        </w:rPr>
        <w:t xml:space="preserve"> issus des très petites et moyennes entreprises (TPME)</w:t>
      </w:r>
      <w:r w:rsidR="006D07B8" w:rsidRPr="0075133B">
        <w:rPr>
          <w:szCs w:val="22"/>
          <w:lang w:val="fr-BE"/>
        </w:rPr>
        <w:t> : mutualisation</w:t>
      </w:r>
      <w:r w:rsidR="0069364A" w:rsidRPr="0075133B">
        <w:rPr>
          <w:szCs w:val="22"/>
          <w:lang w:val="fr-BE"/>
        </w:rPr>
        <w:t xml:space="preserve"> et partage de moyens</w:t>
      </w:r>
      <w:r w:rsidR="006D07B8" w:rsidRPr="0075133B">
        <w:rPr>
          <w:szCs w:val="22"/>
          <w:lang w:val="fr-BE"/>
        </w:rPr>
        <w:t>,</w:t>
      </w:r>
      <w:r w:rsidR="0069364A" w:rsidRPr="0075133B">
        <w:rPr>
          <w:szCs w:val="22"/>
          <w:lang w:val="fr-BE"/>
        </w:rPr>
        <w:t xml:space="preserve"> capacitation mutuelle, </w:t>
      </w:r>
      <w:r w:rsidR="006D07B8" w:rsidRPr="0075133B">
        <w:rPr>
          <w:szCs w:val="22"/>
          <w:lang w:val="fr-BE"/>
        </w:rPr>
        <w:t>amélioration de l’accès au financement, accès aux marchés</w:t>
      </w:r>
      <w:r w:rsidR="0069364A" w:rsidRPr="0075133B">
        <w:rPr>
          <w:szCs w:val="22"/>
          <w:lang w:val="fr-BE"/>
        </w:rPr>
        <w:t>…</w:t>
      </w:r>
    </w:p>
    <w:p w14:paraId="2876D4B0" w14:textId="77777777" w:rsidR="00040A22" w:rsidRPr="0075133B" w:rsidRDefault="00040A22" w:rsidP="00040A22">
      <w:pPr>
        <w:rPr>
          <w:szCs w:val="22"/>
          <w:lang w:val="fr-BE"/>
        </w:rPr>
      </w:pPr>
      <w:r w:rsidRPr="0075133B">
        <w:rPr>
          <w:szCs w:val="22"/>
          <w:lang w:val="fr-BE"/>
        </w:rPr>
        <w:t>- Conception et mise en œuvre de parcours d’accompagnement adaptés au renforcement des compétences techniques et entrepreneuriales des porteurs de projets, en vue d’améliorer les performances économiques des TPME</w:t>
      </w:r>
      <w:r w:rsidR="000F4C62" w:rsidRPr="0075133B">
        <w:rPr>
          <w:szCs w:val="22"/>
          <w:lang w:val="fr-BE"/>
        </w:rPr>
        <w:t>s</w:t>
      </w:r>
      <w:r w:rsidRPr="0075133B">
        <w:rPr>
          <w:szCs w:val="22"/>
          <w:lang w:val="fr-BE"/>
        </w:rPr>
        <w:t xml:space="preserve"> ciblées dans secteurs d’intervention.</w:t>
      </w:r>
    </w:p>
    <w:p w14:paraId="71CA324F" w14:textId="77777777" w:rsidR="00040A22" w:rsidRPr="0075133B" w:rsidRDefault="00040A22" w:rsidP="00040A22">
      <w:pPr>
        <w:autoSpaceDE w:val="0"/>
        <w:autoSpaceDN w:val="0"/>
        <w:adjustRightInd w:val="0"/>
        <w:rPr>
          <w:szCs w:val="22"/>
          <w:lang w:val="fr-BE"/>
        </w:rPr>
      </w:pPr>
      <w:r w:rsidRPr="0075133B">
        <w:rPr>
          <w:szCs w:val="22"/>
          <w:lang w:val="fr-BE"/>
        </w:rPr>
        <w:t>- Appui-conseil de proximité en gestion technico-économique des entreprises et/ou des coopératives ;</w:t>
      </w:r>
    </w:p>
    <w:p w14:paraId="74F900C0" w14:textId="77777777" w:rsidR="0069364A" w:rsidRPr="0075133B" w:rsidRDefault="0069364A" w:rsidP="00A8103B">
      <w:pPr>
        <w:spacing w:after="0"/>
        <w:rPr>
          <w:szCs w:val="22"/>
          <w:lang w:val="fr-BE"/>
        </w:rPr>
      </w:pPr>
      <w:r w:rsidRPr="0075133B">
        <w:rPr>
          <w:szCs w:val="22"/>
          <w:lang w:val="fr-BE" w:eastAsia="fr-FR"/>
        </w:rPr>
        <w:lastRenderedPageBreak/>
        <w:t xml:space="preserve">- </w:t>
      </w:r>
      <w:r w:rsidR="003D40DE" w:rsidRPr="0075133B">
        <w:rPr>
          <w:szCs w:val="22"/>
          <w:lang w:val="fr-BE" w:eastAsia="fr-FR"/>
        </w:rPr>
        <w:t>R</w:t>
      </w:r>
      <w:r w:rsidRPr="0075133B">
        <w:rPr>
          <w:szCs w:val="22"/>
          <w:lang w:val="fr-BE" w:eastAsia="fr-FR"/>
        </w:rPr>
        <w:t xml:space="preserve">éhabilitation/équipement d’espaces multifonctionnelles pouvant servir de centre de travail et/ou </w:t>
      </w:r>
      <w:r w:rsidR="00774FB5" w:rsidRPr="0075133B">
        <w:rPr>
          <w:szCs w:val="22"/>
          <w:lang w:val="fr-BE" w:eastAsia="fr-FR"/>
        </w:rPr>
        <w:t>d’</w:t>
      </w:r>
      <w:r w:rsidRPr="0075133B">
        <w:rPr>
          <w:szCs w:val="22"/>
          <w:lang w:val="fr-BE" w:eastAsia="fr-FR"/>
        </w:rPr>
        <w:t>unités légères de transformation et de stockage de la production</w:t>
      </w:r>
      <w:r w:rsidR="003D40DE" w:rsidRPr="0075133B">
        <w:rPr>
          <w:szCs w:val="22"/>
          <w:lang w:val="fr-BE" w:eastAsia="fr-FR"/>
        </w:rPr>
        <w:t xml:space="preserve"> des O</w:t>
      </w:r>
      <w:r w:rsidR="00A37017" w:rsidRPr="0075133B">
        <w:rPr>
          <w:szCs w:val="22"/>
          <w:lang w:val="fr-BE" w:eastAsia="fr-FR"/>
        </w:rPr>
        <w:t>rganisations Communautaires de Base (O</w:t>
      </w:r>
      <w:r w:rsidR="003D40DE" w:rsidRPr="0075133B">
        <w:rPr>
          <w:szCs w:val="22"/>
          <w:lang w:val="fr-BE" w:eastAsia="fr-FR"/>
        </w:rPr>
        <w:t>CB</w:t>
      </w:r>
      <w:r w:rsidR="00A37017" w:rsidRPr="0075133B">
        <w:rPr>
          <w:szCs w:val="22"/>
          <w:lang w:val="fr-BE" w:eastAsia="fr-FR"/>
        </w:rPr>
        <w:t>)</w:t>
      </w:r>
      <w:r w:rsidR="003D40DE" w:rsidRPr="0075133B">
        <w:rPr>
          <w:szCs w:val="22"/>
          <w:lang w:val="fr-BE" w:eastAsia="fr-FR"/>
        </w:rPr>
        <w:t xml:space="preserve"> ou hub</w:t>
      </w:r>
      <w:r w:rsidR="00774FB5" w:rsidRPr="0075133B">
        <w:rPr>
          <w:szCs w:val="22"/>
          <w:lang w:val="fr-BE" w:eastAsia="fr-FR"/>
        </w:rPr>
        <w:t>s</w:t>
      </w:r>
      <w:r w:rsidR="003D40DE" w:rsidRPr="0075133B">
        <w:rPr>
          <w:szCs w:val="22"/>
          <w:lang w:val="fr-BE" w:eastAsia="fr-FR"/>
        </w:rPr>
        <w:t xml:space="preserve"> économiques communautaires pour l’accès aux marchés.</w:t>
      </w:r>
      <w:r w:rsidR="00F5587C" w:rsidRPr="0075133B">
        <w:rPr>
          <w:szCs w:val="22"/>
          <w:lang w:val="fr-BE" w:eastAsia="fr-FR"/>
        </w:rPr>
        <w:t xml:space="preserve"> (focus femmes)</w:t>
      </w:r>
    </w:p>
    <w:p w14:paraId="0F9EAFED" w14:textId="77777777" w:rsidR="0069364A" w:rsidRPr="0075133B" w:rsidRDefault="00333A2F" w:rsidP="0069364A">
      <w:pPr>
        <w:spacing w:after="0"/>
        <w:rPr>
          <w:szCs w:val="22"/>
          <w:lang w:val="fr-BE" w:eastAsia="fr-FR"/>
        </w:rPr>
      </w:pPr>
      <w:r w:rsidRPr="0075133B">
        <w:rPr>
          <w:szCs w:val="22"/>
          <w:lang w:val="fr-BE"/>
        </w:rPr>
        <w:t>-</w:t>
      </w:r>
      <w:r w:rsidR="003A6B29" w:rsidRPr="0075133B">
        <w:rPr>
          <w:szCs w:val="22"/>
          <w:lang w:val="fr-BE"/>
        </w:rPr>
        <w:t xml:space="preserve"> Consolidation et mise à l’échelle d</w:t>
      </w:r>
      <w:r w:rsidRPr="0075133B">
        <w:rPr>
          <w:szCs w:val="22"/>
          <w:lang w:val="fr-BE"/>
        </w:rPr>
        <w:t xml:space="preserve">’initiatives </w:t>
      </w:r>
      <w:r w:rsidR="003A6B29" w:rsidRPr="0075133B">
        <w:rPr>
          <w:szCs w:val="22"/>
          <w:lang w:val="fr-BE"/>
        </w:rPr>
        <w:t>privées</w:t>
      </w:r>
      <w:r w:rsidRPr="0075133B">
        <w:rPr>
          <w:szCs w:val="22"/>
          <w:lang w:val="fr-BE"/>
        </w:rPr>
        <w:t xml:space="preserve"> (micro entreprises, unités de production, mini usines…</w:t>
      </w:r>
      <w:r w:rsidR="003A6B29" w:rsidRPr="0075133B">
        <w:rPr>
          <w:szCs w:val="22"/>
          <w:lang w:val="fr-BE"/>
        </w:rPr>
        <w:t>) en rela</w:t>
      </w:r>
      <w:r w:rsidRPr="0075133B">
        <w:rPr>
          <w:szCs w:val="22"/>
          <w:lang w:val="fr-BE"/>
        </w:rPr>
        <w:t>tion avec les communautés et organisations de jeunes et de femmes</w:t>
      </w:r>
      <w:r w:rsidR="0069364A" w:rsidRPr="0075133B">
        <w:rPr>
          <w:szCs w:val="22"/>
          <w:lang w:val="fr-BE" w:eastAsia="fr-FR"/>
        </w:rPr>
        <w:t xml:space="preserve">, création de cadres/réseaux réunissant des entrepreneurs de secteurs diversifiés pour le renforcement des interactions locales et développement d’actions de proximité, </w:t>
      </w:r>
    </w:p>
    <w:p w14:paraId="55CFD968" w14:textId="77777777" w:rsidR="00040A22" w:rsidRPr="0075133B" w:rsidRDefault="00040A22" w:rsidP="0069364A">
      <w:pPr>
        <w:spacing w:after="0"/>
        <w:rPr>
          <w:szCs w:val="22"/>
          <w:lang w:val="fr-BE" w:eastAsia="fr-FR"/>
        </w:rPr>
      </w:pPr>
    </w:p>
    <w:p w14:paraId="21D46178" w14:textId="77777777" w:rsidR="00040A22" w:rsidRPr="0075133B" w:rsidRDefault="00040A22" w:rsidP="0069364A">
      <w:pPr>
        <w:spacing w:after="0"/>
        <w:rPr>
          <w:szCs w:val="22"/>
          <w:lang w:val="fr-BE" w:eastAsia="fr-FR"/>
        </w:rPr>
      </w:pPr>
      <w:r w:rsidRPr="0075133B">
        <w:rPr>
          <w:szCs w:val="22"/>
          <w:lang w:val="fr-BE"/>
        </w:rPr>
        <w:t>- Financement partiel d’unités de valoris</w:t>
      </w:r>
      <w:r w:rsidR="00E77485" w:rsidRPr="0075133B">
        <w:rPr>
          <w:szCs w:val="22"/>
          <w:lang w:val="fr-BE"/>
        </w:rPr>
        <w:t>ation des produits</w:t>
      </w:r>
      <w:r w:rsidR="00F5587C" w:rsidRPr="0075133B">
        <w:rPr>
          <w:szCs w:val="22"/>
          <w:lang w:val="fr-BE"/>
        </w:rPr>
        <w:t xml:space="preserve"> pour les jeunes filles et garçons préalablement formés</w:t>
      </w:r>
    </w:p>
    <w:p w14:paraId="6BAC07A4" w14:textId="77777777" w:rsidR="00C4333E" w:rsidRPr="0075133B" w:rsidRDefault="00C4333E" w:rsidP="00111415">
      <w:pPr>
        <w:spacing w:after="0"/>
        <w:rPr>
          <w:szCs w:val="22"/>
          <w:lang w:val="fr-BE" w:eastAsia="fr-FR"/>
        </w:rPr>
      </w:pPr>
    </w:p>
    <w:p w14:paraId="41AE109F" w14:textId="77777777" w:rsidR="00774FB5" w:rsidRPr="0075133B" w:rsidRDefault="00774FB5" w:rsidP="00774FB5">
      <w:pPr>
        <w:rPr>
          <w:b/>
          <w:szCs w:val="22"/>
          <w:lang w:val="fr-BE"/>
        </w:rPr>
      </w:pPr>
      <w:r w:rsidRPr="0075133B">
        <w:rPr>
          <w:b/>
          <w:szCs w:val="22"/>
          <w:lang w:val="fr-BE"/>
        </w:rPr>
        <w:t>Toutes les activités devront être mises en œuvre avec une vision à</w:t>
      </w:r>
      <w:r w:rsidR="007845D2" w:rsidRPr="0075133B">
        <w:rPr>
          <w:b/>
          <w:szCs w:val="22"/>
          <w:lang w:val="fr-BE"/>
        </w:rPr>
        <w:t xml:space="preserve"> </w:t>
      </w:r>
      <w:r w:rsidRPr="0075133B">
        <w:rPr>
          <w:b/>
          <w:szCs w:val="22"/>
          <w:lang w:val="fr-BE"/>
        </w:rPr>
        <w:t>100% entrepreneuriale.</w:t>
      </w:r>
    </w:p>
    <w:p w14:paraId="4DC068EC" w14:textId="77777777" w:rsidR="00F441E8" w:rsidRPr="0075133B" w:rsidRDefault="00F441E8" w:rsidP="00774FB5">
      <w:pPr>
        <w:rPr>
          <w:b/>
          <w:szCs w:val="22"/>
          <w:lang w:val="fr-BE"/>
        </w:rPr>
      </w:pPr>
    </w:p>
    <w:p w14:paraId="6985F24F" w14:textId="77777777" w:rsidR="00111415" w:rsidRPr="0075133B" w:rsidRDefault="00111415" w:rsidP="00111415">
      <w:pPr>
        <w:rPr>
          <w:szCs w:val="22"/>
          <w:lang w:val="fr-BE"/>
        </w:rPr>
      </w:pPr>
      <w:r w:rsidRPr="0075133B">
        <w:rPr>
          <w:szCs w:val="22"/>
          <w:lang w:val="fr-BE"/>
        </w:rPr>
        <w:t>Lot 2</w:t>
      </w:r>
    </w:p>
    <w:p w14:paraId="52ADB2F7" w14:textId="77777777" w:rsidR="006C52AA" w:rsidRPr="0075133B" w:rsidRDefault="00575482" w:rsidP="006C52AA">
      <w:pPr>
        <w:rPr>
          <w:szCs w:val="22"/>
          <w:lang w:val="fr-BE"/>
        </w:rPr>
      </w:pPr>
      <w:r w:rsidRPr="0075133B">
        <w:rPr>
          <w:szCs w:val="22"/>
          <w:lang w:val="fr-BE"/>
        </w:rPr>
        <w:t>-</w:t>
      </w:r>
      <w:r w:rsidR="006C52AA" w:rsidRPr="0075133B">
        <w:rPr>
          <w:szCs w:val="22"/>
          <w:lang w:val="fr-BE"/>
        </w:rPr>
        <w:t xml:space="preserve"> Favoriser la mise en réseau</w:t>
      </w:r>
      <w:r w:rsidR="00E83D48" w:rsidRPr="0075133B">
        <w:rPr>
          <w:szCs w:val="22"/>
          <w:lang w:val="fr-BE"/>
        </w:rPr>
        <w:t>x des organisations de</w:t>
      </w:r>
      <w:r w:rsidR="006C52AA" w:rsidRPr="0075133B">
        <w:rPr>
          <w:szCs w:val="22"/>
          <w:lang w:val="fr-BE"/>
        </w:rPr>
        <w:t xml:space="preserve"> jeunesse </w:t>
      </w:r>
      <w:r w:rsidR="00E83D48" w:rsidRPr="0075133B">
        <w:rPr>
          <w:szCs w:val="22"/>
          <w:lang w:val="fr-BE"/>
        </w:rPr>
        <w:t>et leur accès aux espaces socio-</w:t>
      </w:r>
      <w:r w:rsidR="00823BC7" w:rsidRPr="0075133B">
        <w:rPr>
          <w:szCs w:val="22"/>
          <w:lang w:val="fr-BE"/>
        </w:rPr>
        <w:t>culturels</w:t>
      </w:r>
      <w:r w:rsidR="00E83D48" w:rsidRPr="0075133B">
        <w:rPr>
          <w:szCs w:val="22"/>
          <w:lang w:val="fr-BE"/>
        </w:rPr>
        <w:t xml:space="preserve"> (centres culturels, sportif</w:t>
      </w:r>
      <w:r w:rsidR="000F4C62" w:rsidRPr="0075133B">
        <w:rPr>
          <w:szCs w:val="22"/>
          <w:lang w:val="fr-BE"/>
        </w:rPr>
        <w:t>s</w:t>
      </w:r>
      <w:r w:rsidR="00E83D48" w:rsidRPr="0075133B">
        <w:rPr>
          <w:szCs w:val="22"/>
          <w:lang w:val="fr-BE"/>
        </w:rPr>
        <w:t xml:space="preserve">, théâtre et cinéma), </w:t>
      </w:r>
      <w:r w:rsidR="006C52AA" w:rsidRPr="0075133B">
        <w:rPr>
          <w:szCs w:val="22"/>
          <w:lang w:val="fr-BE"/>
        </w:rPr>
        <w:t xml:space="preserve">y compris les centres </w:t>
      </w:r>
      <w:r w:rsidR="00E83D48" w:rsidRPr="0075133B">
        <w:rPr>
          <w:szCs w:val="22"/>
          <w:lang w:val="fr-BE"/>
        </w:rPr>
        <w:t xml:space="preserve">ados, les centres </w:t>
      </w:r>
      <w:r w:rsidR="006C52AA" w:rsidRPr="0075133B">
        <w:rPr>
          <w:szCs w:val="22"/>
          <w:lang w:val="fr-BE"/>
        </w:rPr>
        <w:t xml:space="preserve">culturels et sportifs </w:t>
      </w:r>
      <w:r w:rsidR="003A6B29" w:rsidRPr="0075133B">
        <w:rPr>
          <w:szCs w:val="22"/>
          <w:lang w:val="fr-BE"/>
        </w:rPr>
        <w:t xml:space="preserve">et communautaires </w:t>
      </w:r>
      <w:r w:rsidR="006C52AA" w:rsidRPr="0075133B">
        <w:rPr>
          <w:szCs w:val="22"/>
          <w:lang w:val="fr-BE"/>
        </w:rPr>
        <w:t xml:space="preserve">permettant d’accroitre leur visibilité auprès des jeunes. </w:t>
      </w:r>
    </w:p>
    <w:p w14:paraId="6CB787A4" w14:textId="77777777" w:rsidR="00575482" w:rsidRPr="0075133B" w:rsidRDefault="008A6DC0" w:rsidP="00575482">
      <w:pPr>
        <w:rPr>
          <w:szCs w:val="22"/>
          <w:lang w:val="fr-BE"/>
        </w:rPr>
      </w:pPr>
      <w:r w:rsidRPr="0075133B">
        <w:rPr>
          <w:szCs w:val="22"/>
          <w:lang w:val="fr-BE"/>
        </w:rPr>
        <w:t>-</w:t>
      </w:r>
      <w:r w:rsidR="007A7C79" w:rsidRPr="0075133B">
        <w:rPr>
          <w:szCs w:val="22"/>
          <w:lang w:val="fr-BE"/>
        </w:rPr>
        <w:t xml:space="preserve"> </w:t>
      </w:r>
      <w:r w:rsidR="00CC35AF" w:rsidRPr="0075133B">
        <w:rPr>
          <w:szCs w:val="22"/>
          <w:lang w:val="fr-BE"/>
        </w:rPr>
        <w:t xml:space="preserve">Soutien à la mise en œuvre </w:t>
      </w:r>
      <w:r w:rsidR="00D61733" w:rsidRPr="0075133B">
        <w:rPr>
          <w:szCs w:val="22"/>
          <w:lang w:val="fr-BE"/>
        </w:rPr>
        <w:t xml:space="preserve">d’activités sportives </w:t>
      </w:r>
      <w:r w:rsidR="00CC35AF" w:rsidRPr="0075133B">
        <w:rPr>
          <w:szCs w:val="22"/>
          <w:lang w:val="fr-BE"/>
        </w:rPr>
        <w:t>et culturel</w:t>
      </w:r>
      <w:r w:rsidR="000F4C62" w:rsidRPr="0075133B">
        <w:rPr>
          <w:szCs w:val="22"/>
          <w:lang w:val="fr-BE"/>
        </w:rPr>
        <w:t>le</w:t>
      </w:r>
      <w:r w:rsidR="00CC35AF" w:rsidRPr="0075133B">
        <w:rPr>
          <w:szCs w:val="22"/>
          <w:lang w:val="fr-BE"/>
        </w:rPr>
        <w:t xml:space="preserve">s </w:t>
      </w:r>
      <w:r w:rsidR="00D61733" w:rsidRPr="0075133B">
        <w:rPr>
          <w:szCs w:val="22"/>
          <w:lang w:val="fr-BE"/>
        </w:rPr>
        <w:t>au sein des communautés : (i) réhabilitation et équipements d’infrastructures</w:t>
      </w:r>
      <w:r w:rsidR="00CC35AF" w:rsidRPr="0075133B">
        <w:rPr>
          <w:szCs w:val="22"/>
          <w:lang w:val="fr-BE"/>
        </w:rPr>
        <w:t xml:space="preserve"> sportives et culturel</w:t>
      </w:r>
      <w:r w:rsidR="000F4C62" w:rsidRPr="0075133B">
        <w:rPr>
          <w:szCs w:val="22"/>
          <w:lang w:val="fr-BE"/>
        </w:rPr>
        <w:t>le</w:t>
      </w:r>
      <w:r w:rsidR="00CC35AF" w:rsidRPr="0075133B">
        <w:rPr>
          <w:szCs w:val="22"/>
          <w:lang w:val="fr-BE"/>
        </w:rPr>
        <w:t>s</w:t>
      </w:r>
      <w:r w:rsidR="00D61733" w:rsidRPr="0075133B">
        <w:rPr>
          <w:szCs w:val="22"/>
          <w:lang w:val="fr-BE"/>
        </w:rPr>
        <w:t xml:space="preserve">, (ii) </w:t>
      </w:r>
      <w:r w:rsidR="003B7735" w:rsidRPr="0075133B">
        <w:rPr>
          <w:szCs w:val="22"/>
          <w:lang w:val="fr-BE"/>
        </w:rPr>
        <w:t>accompagnement d’</w:t>
      </w:r>
      <w:r w:rsidR="00575482" w:rsidRPr="0075133B">
        <w:rPr>
          <w:szCs w:val="22"/>
          <w:lang w:val="fr-BE"/>
        </w:rPr>
        <w:t>évènements</w:t>
      </w:r>
      <w:r w:rsidR="00D61733" w:rsidRPr="0075133B">
        <w:rPr>
          <w:szCs w:val="22"/>
          <w:lang w:val="fr-BE"/>
        </w:rPr>
        <w:t>/compét</w:t>
      </w:r>
      <w:r w:rsidR="0025638F" w:rsidRPr="0075133B">
        <w:rPr>
          <w:szCs w:val="22"/>
          <w:lang w:val="fr-BE"/>
        </w:rPr>
        <w:t>ition</w:t>
      </w:r>
      <w:r w:rsidR="00CC35AF" w:rsidRPr="0075133B">
        <w:rPr>
          <w:szCs w:val="22"/>
          <w:lang w:val="fr-BE"/>
        </w:rPr>
        <w:t>s</w:t>
      </w:r>
      <w:r w:rsidR="00575482" w:rsidRPr="0075133B">
        <w:rPr>
          <w:szCs w:val="22"/>
          <w:lang w:val="fr-BE"/>
        </w:rPr>
        <w:t xml:space="preserve"> sportifs et culturels qui ciblent la jeunesse ou qui émanent de groupement</w:t>
      </w:r>
      <w:r w:rsidR="000F4C62" w:rsidRPr="0075133B">
        <w:rPr>
          <w:szCs w:val="22"/>
          <w:lang w:val="fr-BE"/>
        </w:rPr>
        <w:t>s</w:t>
      </w:r>
      <w:r w:rsidR="00575482" w:rsidRPr="0075133B">
        <w:rPr>
          <w:szCs w:val="22"/>
          <w:lang w:val="fr-BE"/>
        </w:rPr>
        <w:t xml:space="preserve"> ou association</w:t>
      </w:r>
      <w:r w:rsidR="000F4C62" w:rsidRPr="0075133B">
        <w:rPr>
          <w:szCs w:val="22"/>
          <w:lang w:val="fr-BE"/>
        </w:rPr>
        <w:t>s</w:t>
      </w:r>
      <w:r w:rsidR="00575482" w:rsidRPr="0075133B">
        <w:rPr>
          <w:szCs w:val="22"/>
          <w:lang w:val="fr-BE"/>
        </w:rPr>
        <w:t xml:space="preserve"> de jeunes</w:t>
      </w:r>
      <w:r w:rsidR="003B7735" w:rsidRPr="0075133B">
        <w:rPr>
          <w:szCs w:val="22"/>
          <w:lang w:val="fr-BE"/>
        </w:rPr>
        <w:t xml:space="preserve"> (tel que des compétitions inter </w:t>
      </w:r>
      <w:r w:rsidR="00905C1C" w:rsidRPr="0075133B">
        <w:rPr>
          <w:szCs w:val="22"/>
          <w:lang w:val="fr-BE"/>
        </w:rPr>
        <w:t>écoles,</w:t>
      </w:r>
      <w:r w:rsidR="003B7735" w:rsidRPr="0075133B">
        <w:rPr>
          <w:szCs w:val="22"/>
          <w:lang w:val="fr-BE"/>
        </w:rPr>
        <w:t>)</w:t>
      </w:r>
      <w:r w:rsidR="00575482" w:rsidRPr="0075133B">
        <w:rPr>
          <w:szCs w:val="22"/>
          <w:lang w:val="fr-BE"/>
        </w:rPr>
        <w:t>, soutien aux initiatives qui visent à améliorer la qualité de</w:t>
      </w:r>
      <w:r w:rsidR="003B7735" w:rsidRPr="0075133B">
        <w:rPr>
          <w:szCs w:val="22"/>
          <w:lang w:val="fr-BE"/>
        </w:rPr>
        <w:t xml:space="preserve"> la communication sportive </w:t>
      </w:r>
      <w:r w:rsidR="00575482" w:rsidRPr="0075133B">
        <w:rPr>
          <w:szCs w:val="22"/>
          <w:lang w:val="fr-BE"/>
        </w:rPr>
        <w:t>et culturel</w:t>
      </w:r>
      <w:r w:rsidR="003B7735" w:rsidRPr="0075133B">
        <w:rPr>
          <w:szCs w:val="22"/>
          <w:lang w:val="fr-BE"/>
        </w:rPr>
        <w:t>le</w:t>
      </w:r>
      <w:r w:rsidR="00575482" w:rsidRPr="0075133B">
        <w:rPr>
          <w:szCs w:val="22"/>
          <w:lang w:val="fr-BE"/>
        </w:rPr>
        <w:t xml:space="preserve"> à travers les médias et réseaux sociaux</w:t>
      </w:r>
      <w:r w:rsidR="000F4C62" w:rsidRPr="0075133B">
        <w:rPr>
          <w:szCs w:val="22"/>
          <w:lang w:val="fr-BE"/>
        </w:rPr>
        <w:t>.</w:t>
      </w:r>
      <w:r w:rsidR="00575482" w:rsidRPr="0075133B">
        <w:rPr>
          <w:szCs w:val="22"/>
          <w:lang w:val="fr-BE"/>
        </w:rPr>
        <w:t xml:space="preserve"> </w:t>
      </w:r>
    </w:p>
    <w:p w14:paraId="57DB9D95" w14:textId="77777777" w:rsidR="009C0922" w:rsidRPr="0075133B" w:rsidRDefault="009C0922" w:rsidP="009C0922">
      <w:pPr>
        <w:spacing w:after="0"/>
        <w:rPr>
          <w:bCs/>
          <w:szCs w:val="22"/>
        </w:rPr>
      </w:pPr>
      <w:r w:rsidRPr="0075133B">
        <w:rPr>
          <w:bCs/>
          <w:szCs w:val="22"/>
        </w:rPr>
        <w:t>- Activités visant le développement des valeurs citoyennes et de respect de l’environnement au sein de la jeunesse, au travers d’activités innovantes.</w:t>
      </w:r>
    </w:p>
    <w:p w14:paraId="1F393279" w14:textId="77777777" w:rsidR="009C0922" w:rsidRPr="0075133B" w:rsidRDefault="009C0922" w:rsidP="009C0922">
      <w:pPr>
        <w:spacing w:after="0"/>
        <w:rPr>
          <w:bCs/>
          <w:szCs w:val="22"/>
        </w:rPr>
      </w:pPr>
    </w:p>
    <w:p w14:paraId="70522186" w14:textId="77777777" w:rsidR="00575482" w:rsidRPr="0075133B" w:rsidRDefault="00575482" w:rsidP="00575482">
      <w:pPr>
        <w:rPr>
          <w:szCs w:val="22"/>
          <w:lang w:val="fr-BE"/>
        </w:rPr>
      </w:pPr>
      <w:r w:rsidRPr="0075133B">
        <w:rPr>
          <w:szCs w:val="22"/>
          <w:lang w:val="fr-BE"/>
        </w:rPr>
        <w:t>-</w:t>
      </w:r>
      <w:r w:rsidR="007A7C79" w:rsidRPr="0075133B">
        <w:rPr>
          <w:szCs w:val="22"/>
          <w:lang w:val="fr-BE"/>
        </w:rPr>
        <w:t xml:space="preserve"> </w:t>
      </w:r>
      <w:r w:rsidRPr="0075133B">
        <w:rPr>
          <w:szCs w:val="22"/>
          <w:lang w:val="fr-BE"/>
        </w:rPr>
        <w:t xml:space="preserve">Soutien aux initiatives renforçant le droit des jeunes filles et </w:t>
      </w:r>
      <w:r w:rsidR="003B7735" w:rsidRPr="0075133B">
        <w:rPr>
          <w:szCs w:val="22"/>
          <w:lang w:val="fr-BE"/>
        </w:rPr>
        <w:t xml:space="preserve">femmes sur </w:t>
      </w:r>
      <w:r w:rsidRPr="0075133B">
        <w:rPr>
          <w:szCs w:val="22"/>
          <w:lang w:val="fr-BE"/>
        </w:rPr>
        <w:t>leurs condition</w:t>
      </w:r>
      <w:r w:rsidR="003B7735" w:rsidRPr="0075133B">
        <w:rPr>
          <w:szCs w:val="22"/>
          <w:lang w:val="fr-BE"/>
        </w:rPr>
        <w:t>s de vie</w:t>
      </w:r>
      <w:r w:rsidR="000F4C62" w:rsidRPr="0075133B">
        <w:rPr>
          <w:szCs w:val="22"/>
          <w:lang w:val="fr-BE"/>
        </w:rPr>
        <w:t xml:space="preserve">, </w:t>
      </w:r>
      <w:r w:rsidR="003B7735" w:rsidRPr="0075133B">
        <w:rPr>
          <w:szCs w:val="22"/>
          <w:lang w:val="fr-BE"/>
        </w:rPr>
        <w:t>et</w:t>
      </w:r>
      <w:r w:rsidRPr="0075133B">
        <w:rPr>
          <w:szCs w:val="22"/>
          <w:lang w:val="fr-BE"/>
        </w:rPr>
        <w:t xml:space="preserve"> </w:t>
      </w:r>
      <w:r w:rsidR="000F4C62" w:rsidRPr="0075133B">
        <w:rPr>
          <w:szCs w:val="22"/>
          <w:lang w:val="fr-BE"/>
        </w:rPr>
        <w:t xml:space="preserve">sur </w:t>
      </w:r>
      <w:r w:rsidR="00E83D48" w:rsidRPr="0075133B">
        <w:rPr>
          <w:szCs w:val="22"/>
          <w:lang w:val="fr-BE"/>
        </w:rPr>
        <w:t xml:space="preserve">la lutte </w:t>
      </w:r>
      <w:r w:rsidRPr="0075133B">
        <w:rPr>
          <w:szCs w:val="22"/>
          <w:lang w:val="fr-BE"/>
        </w:rPr>
        <w:t>contre toutes formes de violence</w:t>
      </w:r>
      <w:r w:rsidR="000F4C62" w:rsidRPr="0075133B">
        <w:rPr>
          <w:szCs w:val="22"/>
          <w:lang w:val="fr-BE"/>
        </w:rPr>
        <w:t xml:space="preserve"> basée sur le genre</w:t>
      </w:r>
      <w:r w:rsidRPr="0075133B">
        <w:rPr>
          <w:szCs w:val="22"/>
          <w:lang w:val="fr-BE"/>
        </w:rPr>
        <w:t xml:space="preserve">. Ceci pourra se faire au travers l’organisation et la mise en œuvre de campagnes de sensibilisation </w:t>
      </w:r>
      <w:r w:rsidR="00905C1C" w:rsidRPr="0075133B">
        <w:rPr>
          <w:szCs w:val="22"/>
          <w:lang w:val="fr-BE"/>
        </w:rPr>
        <w:t>à travers différents ca</w:t>
      </w:r>
      <w:r w:rsidR="003B7735" w:rsidRPr="0075133B">
        <w:rPr>
          <w:szCs w:val="22"/>
          <w:lang w:val="fr-BE"/>
        </w:rPr>
        <w:t>naux</w:t>
      </w:r>
      <w:r w:rsidR="000F4C62" w:rsidRPr="0075133B">
        <w:rPr>
          <w:szCs w:val="22"/>
          <w:lang w:val="fr-BE"/>
        </w:rPr>
        <w:t xml:space="preserve">, de campagnes de mobilisation des jeunes autour de certains de ces enjeux. </w:t>
      </w:r>
    </w:p>
    <w:p w14:paraId="19DCFC28" w14:textId="77777777" w:rsidR="006C52AA" w:rsidRPr="0075133B" w:rsidRDefault="006C52AA" w:rsidP="006C52AA">
      <w:pPr>
        <w:spacing w:after="0"/>
        <w:rPr>
          <w:szCs w:val="22"/>
          <w:lang w:val="fr-BE"/>
        </w:rPr>
      </w:pPr>
      <w:r w:rsidRPr="0075133B">
        <w:rPr>
          <w:szCs w:val="22"/>
          <w:lang w:val="fr-BE"/>
        </w:rPr>
        <w:t xml:space="preserve">- Renforcement </w:t>
      </w:r>
      <w:r w:rsidR="000F4C62" w:rsidRPr="0075133B">
        <w:rPr>
          <w:szCs w:val="22"/>
          <w:lang w:val="fr-BE"/>
        </w:rPr>
        <w:t>d</w:t>
      </w:r>
      <w:r w:rsidRPr="0075133B">
        <w:rPr>
          <w:szCs w:val="22"/>
          <w:lang w:val="fr-BE"/>
        </w:rPr>
        <w:t>es cap</w:t>
      </w:r>
      <w:r w:rsidR="00E83D48" w:rsidRPr="0075133B">
        <w:rPr>
          <w:szCs w:val="22"/>
          <w:lang w:val="fr-BE"/>
        </w:rPr>
        <w:t>acités des organisations de jeunes</w:t>
      </w:r>
      <w:r w:rsidRPr="0075133B">
        <w:rPr>
          <w:szCs w:val="22"/>
          <w:lang w:val="fr-BE"/>
        </w:rPr>
        <w:t xml:space="preserve"> à utiliser la technologie numérique « civic tech » (modules e-participation &amp; e-learning pour engager la voix des jeunes dans le débat public et les processus décisionnels, production et agrégation de contenus et de modules techniques essentiels dans les thématiques liées au plaidoyer pour la promotion, la défense et la protection des droits des jeunes et jeunes filles et des femmes…).</w:t>
      </w:r>
    </w:p>
    <w:p w14:paraId="4DC2425A" w14:textId="77777777" w:rsidR="000F4C62" w:rsidRPr="0075133B" w:rsidRDefault="000F4C62" w:rsidP="006C52AA">
      <w:pPr>
        <w:spacing w:after="0"/>
        <w:rPr>
          <w:szCs w:val="22"/>
          <w:lang w:val="fr-BE"/>
        </w:rPr>
      </w:pPr>
    </w:p>
    <w:p w14:paraId="30785CE6" w14:textId="77777777" w:rsidR="000F4C62" w:rsidRPr="0075133B" w:rsidRDefault="009C0922" w:rsidP="006C52AA">
      <w:pPr>
        <w:spacing w:after="0"/>
        <w:rPr>
          <w:szCs w:val="22"/>
          <w:lang w:val="fr-BE"/>
        </w:rPr>
      </w:pPr>
      <w:r w:rsidRPr="0075133B">
        <w:rPr>
          <w:bCs/>
          <w:szCs w:val="22"/>
        </w:rPr>
        <w:t>- Activités novatrices et innovantes, pour accroitre la représentation de la jeunesse dans les instances politiques de représentation et/ou exécutive, notamment au travers des nouvelles technologies et le digital. </w:t>
      </w:r>
    </w:p>
    <w:p w14:paraId="1490B41B" w14:textId="77777777" w:rsidR="006C52AA" w:rsidRPr="0075133B" w:rsidRDefault="006C52AA" w:rsidP="00575482">
      <w:pPr>
        <w:rPr>
          <w:szCs w:val="22"/>
          <w:lang w:val="fr-BE"/>
        </w:rPr>
      </w:pPr>
    </w:p>
    <w:p w14:paraId="0E5A2D67" w14:textId="77777777" w:rsidR="0023018A" w:rsidRPr="0075133B" w:rsidRDefault="00266BD4" w:rsidP="006B6048">
      <w:pPr>
        <w:rPr>
          <w:szCs w:val="22"/>
          <w:u w:val="single"/>
        </w:rPr>
      </w:pPr>
      <w:r w:rsidRPr="0075133B">
        <w:rPr>
          <w:szCs w:val="22"/>
          <w:u w:val="single"/>
        </w:rPr>
        <w:t>Soutien financier à des tiers</w:t>
      </w:r>
      <w:r w:rsidR="00DB06F5" w:rsidRPr="0075133B">
        <w:rPr>
          <w:rStyle w:val="FootnoteReference"/>
          <w:sz w:val="22"/>
          <w:szCs w:val="22"/>
          <w:u w:val="single"/>
        </w:rPr>
        <w:footnoteReference w:id="9"/>
      </w:r>
      <w:r w:rsidRPr="0075133B">
        <w:rPr>
          <w:szCs w:val="22"/>
          <w:u w:val="single"/>
        </w:rPr>
        <w:t xml:space="preserve"> </w:t>
      </w:r>
    </w:p>
    <w:p w14:paraId="348C87BC" w14:textId="77777777" w:rsidR="004C2F27" w:rsidRPr="0075133B" w:rsidRDefault="004C2F27" w:rsidP="007E1BE2">
      <w:pPr>
        <w:rPr>
          <w:b/>
          <w:szCs w:val="22"/>
        </w:rPr>
      </w:pPr>
      <w:r w:rsidRPr="0075133B">
        <w:rPr>
          <w:b/>
          <w:szCs w:val="22"/>
        </w:rPr>
        <w:t>Pour le lot 1 :</w:t>
      </w:r>
    </w:p>
    <w:p w14:paraId="0E3FFD6F" w14:textId="77777777" w:rsidR="00107C6D" w:rsidRPr="0075133B" w:rsidRDefault="00574BDC" w:rsidP="007E1BE2">
      <w:pPr>
        <w:rPr>
          <w:szCs w:val="22"/>
        </w:rPr>
      </w:pPr>
      <w:r w:rsidRPr="0075133B">
        <w:rPr>
          <w:szCs w:val="22"/>
        </w:rPr>
        <w:t xml:space="preserve">Les demandeurs </w:t>
      </w:r>
      <w:r w:rsidRPr="0075133B">
        <w:rPr>
          <w:b/>
          <w:szCs w:val="22"/>
        </w:rPr>
        <w:t>doivent</w:t>
      </w:r>
      <w:r w:rsidR="003F04E9" w:rsidRPr="0075133B">
        <w:rPr>
          <w:szCs w:val="22"/>
        </w:rPr>
        <w:t xml:space="preserve"> proposer de soutenir des tiers financièrement</w:t>
      </w:r>
      <w:r w:rsidR="00624D8E" w:rsidRPr="0075133B">
        <w:rPr>
          <w:szCs w:val="22"/>
        </w:rPr>
        <w:t xml:space="preserve"> pour contribuer à réaliser les objectifs de l’action. </w:t>
      </w:r>
    </w:p>
    <w:p w14:paraId="47EA3F66" w14:textId="77777777" w:rsidR="004C2F27" w:rsidRPr="0075133B" w:rsidRDefault="004C2F27" w:rsidP="007E1BE2">
      <w:pPr>
        <w:rPr>
          <w:szCs w:val="22"/>
        </w:rPr>
      </w:pPr>
      <w:r w:rsidRPr="0075133B">
        <w:rPr>
          <w:b/>
          <w:szCs w:val="22"/>
        </w:rPr>
        <w:lastRenderedPageBreak/>
        <w:t>Pour le lot 2</w:t>
      </w:r>
      <w:r w:rsidRPr="0075133B">
        <w:rPr>
          <w:szCs w:val="22"/>
        </w:rPr>
        <w:t> :</w:t>
      </w:r>
    </w:p>
    <w:p w14:paraId="008F0F1D" w14:textId="77777777" w:rsidR="00165B0C" w:rsidRPr="0075133B" w:rsidRDefault="005E4591" w:rsidP="00165B0C">
      <w:pPr>
        <w:rPr>
          <w:szCs w:val="22"/>
        </w:rPr>
      </w:pPr>
      <w:r w:rsidRPr="0075133B">
        <w:rPr>
          <w:szCs w:val="22"/>
        </w:rPr>
        <w:t>L</w:t>
      </w:r>
      <w:r w:rsidR="00165B0C" w:rsidRPr="0075133B">
        <w:rPr>
          <w:szCs w:val="22"/>
        </w:rPr>
        <w:t xml:space="preserve">es demandeurs </w:t>
      </w:r>
      <w:r w:rsidR="00165B0C" w:rsidRPr="0075133B">
        <w:rPr>
          <w:b/>
          <w:szCs w:val="22"/>
        </w:rPr>
        <w:t>peuvent</w:t>
      </w:r>
      <w:r w:rsidR="00165B0C" w:rsidRPr="0075133B">
        <w:rPr>
          <w:szCs w:val="22"/>
        </w:rPr>
        <w:t xml:space="preserve"> proposer de soutenir des tiers financièrement pour contribuer à réaliser les objectifs de l’action.</w:t>
      </w:r>
    </w:p>
    <w:p w14:paraId="0B4383F6" w14:textId="77777777" w:rsidR="00524C53" w:rsidRPr="0075133B" w:rsidRDefault="00524C53" w:rsidP="00165B0C">
      <w:pPr>
        <w:rPr>
          <w:b/>
          <w:szCs w:val="22"/>
        </w:rPr>
      </w:pPr>
      <w:r w:rsidRPr="0075133B">
        <w:rPr>
          <w:b/>
          <w:szCs w:val="22"/>
        </w:rPr>
        <w:t>Pour les deux lots :</w:t>
      </w:r>
    </w:p>
    <w:p w14:paraId="382A1F3A" w14:textId="77777777" w:rsidR="009B6884" w:rsidRPr="0075133B" w:rsidRDefault="007E1BE2" w:rsidP="009B6884">
      <w:pPr>
        <w:rPr>
          <w:szCs w:val="22"/>
        </w:rPr>
      </w:pPr>
      <w:r w:rsidRPr="0075133B">
        <w:rPr>
          <w:szCs w:val="22"/>
        </w:rPr>
        <w:t>Le montant maximum d’un tel soutien financier ne doit pas dépasser</w:t>
      </w:r>
      <w:r w:rsidR="004455E3" w:rsidRPr="0075133B">
        <w:rPr>
          <w:szCs w:val="22"/>
        </w:rPr>
        <w:t> </w:t>
      </w:r>
      <w:r w:rsidR="005E4591" w:rsidRPr="0075133B">
        <w:rPr>
          <w:szCs w:val="22"/>
        </w:rPr>
        <w:t>6</w:t>
      </w:r>
      <w:r w:rsidRPr="0075133B">
        <w:rPr>
          <w:szCs w:val="22"/>
        </w:rPr>
        <w:t xml:space="preserve">0 000 EUR par tiers, sauf lorsque la réalisation des objectifs des actions serait, autrement, impossible ou exagérément difficile; dans ce cas, ce plafond peut être </w:t>
      </w:r>
      <w:r w:rsidR="007179DD" w:rsidRPr="0075133B">
        <w:rPr>
          <w:szCs w:val="22"/>
        </w:rPr>
        <w:t xml:space="preserve">dépassé. </w:t>
      </w:r>
      <w:r w:rsidRPr="0075133B">
        <w:rPr>
          <w:szCs w:val="22"/>
        </w:rPr>
        <w:t xml:space="preserve">Un plafond inférieur à </w:t>
      </w:r>
      <w:r w:rsidR="005E4591" w:rsidRPr="0075133B">
        <w:rPr>
          <w:szCs w:val="22"/>
        </w:rPr>
        <w:t>6</w:t>
      </w:r>
      <w:r w:rsidRPr="0075133B">
        <w:rPr>
          <w:szCs w:val="22"/>
        </w:rPr>
        <w:t>0 000 EUR peut être fixé.</w:t>
      </w:r>
    </w:p>
    <w:p w14:paraId="42FCD584" w14:textId="77777777" w:rsidR="00700AF2" w:rsidRPr="0075133B" w:rsidRDefault="00700AF2" w:rsidP="00700AF2">
      <w:pPr>
        <w:rPr>
          <w:szCs w:val="22"/>
        </w:rPr>
      </w:pPr>
      <w:r w:rsidRPr="0075133B">
        <w:rPr>
          <w:szCs w:val="22"/>
        </w:rPr>
        <w:t xml:space="preserve">Conformément aux présentes lignes directrices, et notamment aux conditions ou restrictions fixées dans la présente section, le demandeur chef de file doit indiquer obligatoirement, dans la section 2.1.1 de l’annexe A.2 (formulaire de demande de subvention – demande complète): </w:t>
      </w:r>
    </w:p>
    <w:p w14:paraId="7897F839" w14:textId="77777777" w:rsidR="00700AF2" w:rsidRPr="0075133B" w:rsidRDefault="00700AF2" w:rsidP="00575041">
      <w:pPr>
        <w:numPr>
          <w:ilvl w:val="0"/>
          <w:numId w:val="35"/>
        </w:numPr>
        <w:tabs>
          <w:tab w:val="left" w:pos="851"/>
        </w:tabs>
        <w:ind w:left="851" w:hanging="425"/>
        <w:rPr>
          <w:szCs w:val="22"/>
        </w:rPr>
      </w:pPr>
      <w:r w:rsidRPr="0075133B">
        <w:rPr>
          <w:szCs w:val="22"/>
        </w:rPr>
        <w:t>l’objectif général, les objectifs spécifiques et les produits</w:t>
      </w:r>
      <w:r w:rsidR="00247941" w:rsidRPr="0075133B">
        <w:rPr>
          <w:rStyle w:val="FootnoteReference"/>
          <w:sz w:val="22"/>
          <w:szCs w:val="22"/>
        </w:rPr>
        <w:footnoteReference w:id="10"/>
      </w:r>
      <w:r w:rsidRPr="0075133B">
        <w:rPr>
          <w:szCs w:val="22"/>
        </w:rPr>
        <w:t xml:space="preserve"> (c’est-à-dire les résultats) à atteindre au moyen du soutien financier; </w:t>
      </w:r>
    </w:p>
    <w:p w14:paraId="791AA9A6" w14:textId="77777777" w:rsidR="00700AF2" w:rsidRPr="0075133B" w:rsidRDefault="00700AF2" w:rsidP="00575041">
      <w:pPr>
        <w:numPr>
          <w:ilvl w:val="0"/>
          <w:numId w:val="35"/>
        </w:numPr>
        <w:tabs>
          <w:tab w:val="left" w:pos="851"/>
        </w:tabs>
        <w:ind w:left="851" w:hanging="425"/>
        <w:rPr>
          <w:szCs w:val="22"/>
        </w:rPr>
      </w:pPr>
      <w:r w:rsidRPr="0075133B">
        <w:rPr>
          <w:szCs w:val="22"/>
        </w:rPr>
        <w:t xml:space="preserve">les différents types d’activités susceptibles de bénéficier d’un soutien financier, sur la base d’une liste exhaustive; </w:t>
      </w:r>
    </w:p>
    <w:p w14:paraId="0EEB4AC1" w14:textId="77777777" w:rsidR="00700AF2" w:rsidRPr="0075133B" w:rsidRDefault="00700AF2" w:rsidP="00575041">
      <w:pPr>
        <w:numPr>
          <w:ilvl w:val="0"/>
          <w:numId w:val="35"/>
        </w:numPr>
        <w:tabs>
          <w:tab w:val="left" w:pos="851"/>
        </w:tabs>
        <w:ind w:left="851" w:hanging="425"/>
        <w:rPr>
          <w:szCs w:val="22"/>
        </w:rPr>
      </w:pPr>
      <w:r w:rsidRPr="0075133B">
        <w:rPr>
          <w:szCs w:val="22"/>
        </w:rPr>
        <w:t xml:space="preserve">les types ou catégories de personnes éligibles au soutien financier;  </w:t>
      </w:r>
    </w:p>
    <w:p w14:paraId="739F94EB" w14:textId="77777777" w:rsidR="00700AF2" w:rsidRPr="0075133B" w:rsidRDefault="00700AF2" w:rsidP="004741A1">
      <w:pPr>
        <w:tabs>
          <w:tab w:val="left" w:pos="851"/>
        </w:tabs>
        <w:ind w:left="851" w:hanging="425"/>
        <w:rPr>
          <w:szCs w:val="22"/>
        </w:rPr>
      </w:pPr>
      <w:r w:rsidRPr="0075133B">
        <w:rPr>
          <w:szCs w:val="22"/>
        </w:rPr>
        <w:t>iv)</w:t>
      </w:r>
      <w:r w:rsidRPr="0075133B">
        <w:rPr>
          <w:szCs w:val="22"/>
        </w:rPr>
        <w:tab/>
        <w:t xml:space="preserve">les critères pour les sélectionner et leur attribuer le soutien financier;  </w:t>
      </w:r>
    </w:p>
    <w:p w14:paraId="4C20EE29" w14:textId="77777777" w:rsidR="00700AF2" w:rsidRPr="0075133B" w:rsidRDefault="00700AF2" w:rsidP="00575041">
      <w:pPr>
        <w:numPr>
          <w:ilvl w:val="0"/>
          <w:numId w:val="36"/>
        </w:numPr>
        <w:tabs>
          <w:tab w:val="left" w:pos="851"/>
        </w:tabs>
        <w:ind w:left="851" w:hanging="425"/>
        <w:rPr>
          <w:szCs w:val="22"/>
        </w:rPr>
      </w:pPr>
      <w:r w:rsidRPr="0075133B">
        <w:rPr>
          <w:szCs w:val="22"/>
        </w:rPr>
        <w:t xml:space="preserve">les critères pour déterminer le montant exact du support financier pour chaque tiers; et </w:t>
      </w:r>
    </w:p>
    <w:p w14:paraId="265D7F3A" w14:textId="77777777" w:rsidR="00700AF2" w:rsidRPr="0075133B" w:rsidRDefault="00700AF2" w:rsidP="00575041">
      <w:pPr>
        <w:numPr>
          <w:ilvl w:val="0"/>
          <w:numId w:val="36"/>
        </w:numPr>
        <w:tabs>
          <w:tab w:val="left" w:pos="851"/>
        </w:tabs>
        <w:ind w:left="851" w:hanging="425"/>
        <w:rPr>
          <w:szCs w:val="22"/>
        </w:rPr>
      </w:pPr>
      <w:r w:rsidRPr="0075133B">
        <w:rPr>
          <w:szCs w:val="22"/>
        </w:rPr>
        <w:t>le montant maximum pouvant être redistribué.</w:t>
      </w:r>
    </w:p>
    <w:p w14:paraId="6BE68FDC" w14:textId="3A5467D1" w:rsidR="00517ECD" w:rsidRPr="0075133B" w:rsidRDefault="00700AF2" w:rsidP="00517ECD">
      <w:pPr>
        <w:rPr>
          <w:szCs w:val="22"/>
          <w:u w:val="single"/>
        </w:rPr>
      </w:pPr>
      <w:r w:rsidRPr="0075133B">
        <w:rPr>
          <w:szCs w:val="22"/>
        </w:rPr>
        <w:t xml:space="preserve">En tout état de cause, les conditions obligatoires fixées ci-dessus pour l’octroi d’un soutien financier </w:t>
      </w:r>
      <w:r w:rsidR="00156674" w:rsidRPr="0075133B">
        <w:rPr>
          <w:szCs w:val="22"/>
        </w:rPr>
        <w:t>(</w:t>
      </w:r>
      <w:r w:rsidRPr="0075133B">
        <w:rPr>
          <w:szCs w:val="22"/>
        </w:rPr>
        <w:t>points i) à vi)</w:t>
      </w:r>
      <w:r w:rsidR="00156674" w:rsidRPr="0075133B">
        <w:rPr>
          <w:szCs w:val="22"/>
        </w:rPr>
        <w:t>)</w:t>
      </w:r>
      <w:r w:rsidRPr="0075133B">
        <w:rPr>
          <w:szCs w:val="22"/>
        </w:rPr>
        <w:t xml:space="preserve"> doivent être strictement définies dans le contrat de subvention afin d’éviter que ce soutien financier soit attribué de façon discrétionnaire.</w:t>
      </w:r>
      <w:r w:rsidR="00156674" w:rsidRPr="0075133B">
        <w:rPr>
          <w:szCs w:val="22"/>
        </w:rPr>
        <w:t xml:space="preserve"> Pour le lot 1, le soutien financier ciblera spécifiquement les jeunes entrepreneurs et/ou associations d’entrepreneurs accompagnés.</w:t>
      </w:r>
    </w:p>
    <w:p w14:paraId="0729E92E" w14:textId="77777777" w:rsidR="00165B0C" w:rsidRPr="00344F2D" w:rsidRDefault="00165B0C" w:rsidP="00165B0C">
      <w:pPr>
        <w:rPr>
          <w:szCs w:val="22"/>
          <w:u w:val="single"/>
        </w:rPr>
      </w:pPr>
    </w:p>
    <w:p w14:paraId="6DE33FBB" w14:textId="77777777" w:rsidR="00107C6D" w:rsidRPr="0075133B" w:rsidRDefault="00107C6D" w:rsidP="004B7BC2">
      <w:pPr>
        <w:keepNext/>
        <w:rPr>
          <w:szCs w:val="22"/>
          <w:u w:val="single"/>
        </w:rPr>
      </w:pPr>
      <w:r w:rsidRPr="0075133B">
        <w:rPr>
          <w:szCs w:val="22"/>
          <w:u w:val="single"/>
        </w:rPr>
        <w:t>Visibilité</w:t>
      </w:r>
    </w:p>
    <w:p w14:paraId="4210E7B6" w14:textId="77777777" w:rsidR="00102413" w:rsidRPr="0075133B" w:rsidRDefault="00622160" w:rsidP="00102413">
      <w:pPr>
        <w:rPr>
          <w:szCs w:val="22"/>
        </w:rPr>
      </w:pPr>
      <w:r w:rsidRPr="0075133B">
        <w:rPr>
          <w:szCs w:val="22"/>
        </w:rPr>
        <w:t xml:space="preserve">Les demandeurs doivent prendre toutes les mesures nécessaires pour assurer la visibilité du financement ou cofinancement par l’Union européenne. </w:t>
      </w:r>
      <w:r w:rsidR="00102413" w:rsidRPr="0075133B">
        <w:rPr>
          <w:szCs w:val="22"/>
        </w:rPr>
        <w:t xml:space="preserve">Sauf accord contraire de la Commission européenne, les actions financées en tout ou en partie par l’Union européenne doivent assurer la visibilité du financement de l’UE en affichant l’emblème de l’UE conformément aux lignes directrices opérationnelles à l’intention des bénéficiaires de financements de l’UE, publiées par la Commission européenne. Le cas échéant, des activités de communication peuvent être entreprises pour sensibiliser des publics spécifiques ou généraux aux raisons de l’action et au soutien apporté par l’UE à l’action dans le pays ou la région concernés, ainsi qu’aux résultats et à l’impact de ce soutien.  </w:t>
      </w:r>
    </w:p>
    <w:p w14:paraId="1D9617D9" w14:textId="77777777" w:rsidR="003E52C8" w:rsidRPr="0075133B" w:rsidRDefault="00102413" w:rsidP="00102413">
      <w:pPr>
        <w:rPr>
          <w:szCs w:val="22"/>
        </w:rPr>
      </w:pPr>
      <w:r w:rsidRPr="0075133B">
        <w:rPr>
          <w:szCs w:val="22"/>
        </w:rPr>
        <w:t xml:space="preserve">Toutes les mesures et activités relatives à la visibilité et, le cas échéant, à la communication, doivent être conformes aux exigences les plus récentes en matière de communication et de visibilité </w:t>
      </w:r>
      <w:r w:rsidR="00767D0A" w:rsidRPr="0075133B">
        <w:rPr>
          <w:szCs w:val="22"/>
        </w:rPr>
        <w:t xml:space="preserve">des actions extérieures </w:t>
      </w:r>
      <w:r w:rsidRPr="0075133B">
        <w:rPr>
          <w:szCs w:val="22"/>
        </w:rPr>
        <w:t xml:space="preserve">définies et publiées par la Commission européenne à l’adresse </w:t>
      </w:r>
      <w:hyperlink r:id="rId23" w:history="1">
        <w:r w:rsidR="00767D0A" w:rsidRPr="0075133B">
          <w:rPr>
            <w:rStyle w:val="Hyperlink"/>
            <w:color w:val="auto"/>
            <w:szCs w:val="22"/>
          </w:rPr>
          <w:t>Communication and Visibility Requirements for EU External Actions | International Partnerships (europa.eu)</w:t>
        </w:r>
      </w:hyperlink>
      <w:r w:rsidRPr="0075133B">
        <w:rPr>
          <w:szCs w:val="22"/>
        </w:rPr>
        <w:t>.</w:t>
      </w:r>
    </w:p>
    <w:p w14:paraId="221D946F" w14:textId="77777777" w:rsidR="0007408E" w:rsidRPr="0075133B" w:rsidRDefault="0007408E" w:rsidP="006B6048">
      <w:pPr>
        <w:rPr>
          <w:szCs w:val="22"/>
          <w:u w:val="single"/>
        </w:rPr>
      </w:pPr>
      <w:r w:rsidRPr="0075133B">
        <w:rPr>
          <w:szCs w:val="22"/>
          <w:u w:val="single"/>
        </w:rPr>
        <w:t>Nombre de demandes et de subventions par demandeur/entité affiliée</w:t>
      </w:r>
    </w:p>
    <w:p w14:paraId="63D42D6E" w14:textId="77777777" w:rsidR="0007408E" w:rsidRPr="0075133B" w:rsidRDefault="006A36F9" w:rsidP="006B6048">
      <w:pPr>
        <w:rPr>
          <w:szCs w:val="22"/>
        </w:rPr>
      </w:pPr>
      <w:r w:rsidRPr="0075133B">
        <w:rPr>
          <w:szCs w:val="22"/>
        </w:rPr>
        <w:lastRenderedPageBreak/>
        <w:t xml:space="preserve">Le demandeur chef de file </w:t>
      </w:r>
      <w:r w:rsidR="00CF7F2F" w:rsidRPr="0075133B">
        <w:rPr>
          <w:szCs w:val="22"/>
        </w:rPr>
        <w:t xml:space="preserve">ne </w:t>
      </w:r>
      <w:r w:rsidRPr="0075133B">
        <w:rPr>
          <w:szCs w:val="22"/>
        </w:rPr>
        <w:t xml:space="preserve">peut </w:t>
      </w:r>
      <w:r w:rsidR="00CF7F2F" w:rsidRPr="0075133B">
        <w:rPr>
          <w:szCs w:val="22"/>
        </w:rPr>
        <w:t>pas</w:t>
      </w:r>
      <w:r w:rsidRPr="0075133B">
        <w:rPr>
          <w:szCs w:val="22"/>
        </w:rPr>
        <w:t xml:space="preserve"> soumettre plus d</w:t>
      </w:r>
      <w:r w:rsidR="005463FF" w:rsidRPr="0075133B">
        <w:rPr>
          <w:szCs w:val="22"/>
        </w:rPr>
        <w:t xml:space="preserve">’une </w:t>
      </w:r>
      <w:r w:rsidRPr="0075133B">
        <w:rPr>
          <w:szCs w:val="22"/>
        </w:rPr>
        <w:t>demande dans le cadre du présent appel à propositions.</w:t>
      </w:r>
    </w:p>
    <w:p w14:paraId="5DDFBD42" w14:textId="77777777" w:rsidR="0007408E" w:rsidRPr="0075133B" w:rsidRDefault="006A36F9" w:rsidP="006B6048">
      <w:pPr>
        <w:rPr>
          <w:szCs w:val="22"/>
        </w:rPr>
      </w:pPr>
      <w:r w:rsidRPr="0075133B">
        <w:rPr>
          <w:szCs w:val="22"/>
        </w:rPr>
        <w:t xml:space="preserve">Le demandeur chef de file </w:t>
      </w:r>
      <w:r w:rsidR="00CF7F2F" w:rsidRPr="0075133B">
        <w:rPr>
          <w:szCs w:val="22"/>
        </w:rPr>
        <w:t xml:space="preserve">ne peut pas </w:t>
      </w:r>
      <w:r w:rsidRPr="0075133B">
        <w:rPr>
          <w:szCs w:val="22"/>
        </w:rPr>
        <w:t>se voir attribuer plus d</w:t>
      </w:r>
      <w:r w:rsidR="0025687E" w:rsidRPr="0075133B">
        <w:rPr>
          <w:szCs w:val="22"/>
        </w:rPr>
        <w:t>’une</w:t>
      </w:r>
      <w:r w:rsidRPr="0075133B">
        <w:rPr>
          <w:szCs w:val="22"/>
        </w:rPr>
        <w:t> subvention</w:t>
      </w:r>
      <w:r w:rsidR="00397453" w:rsidRPr="0075133B">
        <w:rPr>
          <w:szCs w:val="22"/>
        </w:rPr>
        <w:t xml:space="preserve"> </w:t>
      </w:r>
      <w:r w:rsidRPr="0075133B">
        <w:rPr>
          <w:szCs w:val="22"/>
        </w:rPr>
        <w:t>au titre du présent appel à propositions.</w:t>
      </w:r>
    </w:p>
    <w:p w14:paraId="6B6C872F" w14:textId="77777777" w:rsidR="00B41A93" w:rsidRPr="0075133B" w:rsidRDefault="006A36F9" w:rsidP="006B6048">
      <w:pPr>
        <w:rPr>
          <w:szCs w:val="22"/>
        </w:rPr>
      </w:pPr>
      <w:r w:rsidRPr="0075133B">
        <w:rPr>
          <w:szCs w:val="22"/>
        </w:rPr>
        <w:t>Le demandeur chef de file ne peut pas être en même temps un codemandeur ou une entité aff</w:t>
      </w:r>
      <w:r w:rsidR="00397453" w:rsidRPr="0075133B">
        <w:rPr>
          <w:szCs w:val="22"/>
        </w:rPr>
        <w:t>iliée dans une autre demande relevant du même lot</w:t>
      </w:r>
      <w:r w:rsidRPr="0075133B">
        <w:rPr>
          <w:szCs w:val="22"/>
        </w:rPr>
        <w:t>.</w:t>
      </w:r>
    </w:p>
    <w:p w14:paraId="3D8AF9BB" w14:textId="77777777" w:rsidR="003E050E" w:rsidRPr="0075133B" w:rsidRDefault="008C7021" w:rsidP="006B6048">
      <w:pPr>
        <w:rPr>
          <w:szCs w:val="22"/>
        </w:rPr>
      </w:pPr>
      <w:r w:rsidRPr="0075133B">
        <w:rPr>
          <w:szCs w:val="22"/>
        </w:rPr>
        <w:t>Un codema</w:t>
      </w:r>
      <w:r w:rsidR="003E050E" w:rsidRPr="0075133B">
        <w:rPr>
          <w:szCs w:val="22"/>
        </w:rPr>
        <w:t xml:space="preserve">ndeur/une entité affiliée </w:t>
      </w:r>
      <w:r w:rsidRPr="0075133B">
        <w:rPr>
          <w:szCs w:val="22"/>
        </w:rPr>
        <w:t xml:space="preserve">ne peut </w:t>
      </w:r>
      <w:r w:rsidR="003E050E" w:rsidRPr="0075133B">
        <w:rPr>
          <w:szCs w:val="22"/>
        </w:rPr>
        <w:t>pas</w:t>
      </w:r>
      <w:r w:rsidRPr="0075133B">
        <w:rPr>
          <w:szCs w:val="22"/>
        </w:rPr>
        <w:t xml:space="preserve"> être un codemandeur ou une entité affiliée dans plus d</w:t>
      </w:r>
      <w:r w:rsidR="003E050E" w:rsidRPr="0075133B">
        <w:rPr>
          <w:szCs w:val="22"/>
        </w:rPr>
        <w:t>’une</w:t>
      </w:r>
      <w:r w:rsidRPr="0075133B">
        <w:rPr>
          <w:szCs w:val="22"/>
        </w:rPr>
        <w:t xml:space="preserve"> demande dans le cadre du présent appel à propositions. </w:t>
      </w:r>
    </w:p>
    <w:p w14:paraId="179B44E4" w14:textId="77777777" w:rsidR="003E050E" w:rsidRPr="0075133B" w:rsidRDefault="008C7021" w:rsidP="006B6048">
      <w:pPr>
        <w:rPr>
          <w:szCs w:val="22"/>
        </w:rPr>
      </w:pPr>
      <w:r w:rsidRPr="0075133B">
        <w:rPr>
          <w:szCs w:val="22"/>
        </w:rPr>
        <w:t xml:space="preserve">Un codemandeur/une entité affiliée ne peut pas se voir attribuer plus </w:t>
      </w:r>
      <w:r w:rsidR="003E050E" w:rsidRPr="0075133B">
        <w:rPr>
          <w:szCs w:val="22"/>
        </w:rPr>
        <w:t>d’une subvention</w:t>
      </w:r>
      <w:r w:rsidRPr="0075133B">
        <w:rPr>
          <w:szCs w:val="22"/>
        </w:rPr>
        <w:t xml:space="preserve"> au titre du présent appel à propositions.</w:t>
      </w:r>
    </w:p>
    <w:p w14:paraId="57CA9983" w14:textId="77777777" w:rsidR="008006F5" w:rsidRPr="0075133B" w:rsidRDefault="008006F5" w:rsidP="006B6048">
      <w:pPr>
        <w:rPr>
          <w:szCs w:val="22"/>
        </w:rPr>
      </w:pPr>
    </w:p>
    <w:p w14:paraId="1270287C" w14:textId="77777777" w:rsidR="0007408E" w:rsidRPr="0075133B" w:rsidRDefault="0007408E" w:rsidP="00BF7926">
      <w:pPr>
        <w:pStyle w:val="Guidelines3"/>
        <w:rPr>
          <w:sz w:val="22"/>
          <w:szCs w:val="22"/>
        </w:rPr>
      </w:pPr>
      <w:bookmarkStart w:id="31" w:name="_Toc74830952"/>
      <w:bookmarkStart w:id="32" w:name="_Toc179890132"/>
      <w:bookmarkStart w:id="33" w:name="_Toc182404632"/>
      <w:r w:rsidRPr="0075133B">
        <w:rPr>
          <w:sz w:val="22"/>
          <w:szCs w:val="22"/>
        </w:rPr>
        <w:t>Éligibilité des coûts: quels coûts peuvent être inclus?</w:t>
      </w:r>
      <w:bookmarkEnd w:id="31"/>
      <w:bookmarkEnd w:id="32"/>
      <w:bookmarkEnd w:id="33"/>
      <w:r w:rsidRPr="0075133B">
        <w:rPr>
          <w:sz w:val="22"/>
          <w:szCs w:val="22"/>
        </w:rPr>
        <w:t xml:space="preserve"> </w:t>
      </w:r>
    </w:p>
    <w:p w14:paraId="73CDD41E" w14:textId="77777777" w:rsidR="004C5057" w:rsidRPr="0075133B" w:rsidRDefault="004C5057" w:rsidP="006B6048">
      <w:pPr>
        <w:rPr>
          <w:szCs w:val="22"/>
        </w:rPr>
      </w:pPr>
    </w:p>
    <w:p w14:paraId="3A4F7025" w14:textId="77777777" w:rsidR="00B17D2F" w:rsidRPr="0075133B" w:rsidRDefault="00ED7CB2" w:rsidP="006B6048">
      <w:pPr>
        <w:rPr>
          <w:szCs w:val="22"/>
        </w:rPr>
      </w:pPr>
      <w:r w:rsidRPr="0075133B">
        <w:rPr>
          <w:szCs w:val="22"/>
        </w:rPr>
        <w:t>La contribution de l’UE dans le cadre du présent appel à propositions prend les formes suivantes:</w:t>
      </w:r>
    </w:p>
    <w:p w14:paraId="148E0EFD" w14:textId="77777777" w:rsidR="00BF7E1C" w:rsidRPr="0075133B" w:rsidRDefault="00BF7E1C" w:rsidP="00575041">
      <w:pPr>
        <w:numPr>
          <w:ilvl w:val="0"/>
          <w:numId w:val="38"/>
        </w:numPr>
        <w:rPr>
          <w:szCs w:val="22"/>
        </w:rPr>
      </w:pPr>
      <w:r w:rsidRPr="0075133B">
        <w:rPr>
          <w:szCs w:val="22"/>
        </w:rPr>
        <w:t>le remboursement des coûts éligibles peut prendre les formes suivantes, ou une combinaison de celles-ci</w:t>
      </w:r>
      <w:r w:rsidR="0078389C" w:rsidRPr="0075133B">
        <w:rPr>
          <w:szCs w:val="22"/>
        </w:rPr>
        <w:t xml:space="preserve"> </w:t>
      </w:r>
      <w:r w:rsidRPr="0075133B">
        <w:rPr>
          <w:szCs w:val="22"/>
        </w:rPr>
        <w:t>:</w:t>
      </w:r>
    </w:p>
    <w:p w14:paraId="28E1C7B1" w14:textId="77777777" w:rsidR="00463413" w:rsidRPr="0075133B" w:rsidRDefault="00680EB5" w:rsidP="00BA6979">
      <w:pPr>
        <w:ind w:firstLine="720"/>
        <w:rPr>
          <w:szCs w:val="22"/>
        </w:rPr>
      </w:pPr>
      <w:r w:rsidRPr="0075133B">
        <w:rPr>
          <w:szCs w:val="22"/>
        </w:rPr>
        <w:t>i) les frais effectivement supportés par le ou les bénéficiaires et l’entité ou les entités affiliées;</w:t>
      </w:r>
    </w:p>
    <w:p w14:paraId="78B6AB96" w14:textId="77777777" w:rsidR="00BF7060" w:rsidRPr="0075133B" w:rsidRDefault="00680EB5" w:rsidP="00BA6979">
      <w:pPr>
        <w:ind w:firstLine="720"/>
        <w:rPr>
          <w:szCs w:val="22"/>
        </w:rPr>
      </w:pPr>
      <w:r w:rsidRPr="0075133B">
        <w:rPr>
          <w:szCs w:val="22"/>
        </w:rPr>
        <w:t>ii) une ou plusieurs options simplifiées en matière de coûts (voir ci-dessous).</w:t>
      </w:r>
    </w:p>
    <w:p w14:paraId="12E194FA" w14:textId="77777777" w:rsidR="006224E4" w:rsidRPr="0075133B" w:rsidRDefault="006224E4" w:rsidP="00BA6979">
      <w:pPr>
        <w:spacing w:before="240"/>
        <w:rPr>
          <w:szCs w:val="22"/>
        </w:rPr>
      </w:pPr>
      <w:r w:rsidRPr="0075133B">
        <w:rPr>
          <w:szCs w:val="22"/>
        </w:rPr>
        <w:t xml:space="preserve">Seuls les «coûts éligibles» peuvent être couverts par une subvention. Les catégories de coûts éligibles et non éligibles sont indiquées ci-dessous. Le budget constitue à la fois une estimation des coûts et un plafond global des «coûts éligibles». </w:t>
      </w:r>
    </w:p>
    <w:p w14:paraId="731CFB7B" w14:textId="77777777" w:rsidR="00BF7060" w:rsidRPr="0075133B" w:rsidRDefault="00BF7060" w:rsidP="00BF7060">
      <w:pPr>
        <w:rPr>
          <w:b/>
          <w:szCs w:val="22"/>
        </w:rPr>
      </w:pPr>
      <w:r w:rsidRPr="0075133B">
        <w:rPr>
          <w:szCs w:val="22"/>
        </w:rPr>
        <w:t>Les options simplifiées en matière de coûts peuvent prendre les formes suivantes:</w:t>
      </w:r>
    </w:p>
    <w:p w14:paraId="39E89485" w14:textId="77777777" w:rsidR="00BF7060" w:rsidRPr="0075133B" w:rsidRDefault="00BF7060" w:rsidP="00575041">
      <w:pPr>
        <w:numPr>
          <w:ilvl w:val="0"/>
          <w:numId w:val="24"/>
        </w:numPr>
        <w:rPr>
          <w:szCs w:val="22"/>
        </w:rPr>
      </w:pPr>
      <w:r w:rsidRPr="0075133B">
        <w:rPr>
          <w:b/>
          <w:szCs w:val="22"/>
        </w:rPr>
        <w:t>coûts unitaires:</w:t>
      </w:r>
      <w:r w:rsidRPr="0075133B">
        <w:rPr>
          <w:szCs w:val="22"/>
        </w:rPr>
        <w:t xml:space="preserve"> couvrent tout ou partie des catégories de coûts éligibles spécifiques qui sont clairement déterminées à l’avance par référence à un </w:t>
      </w:r>
      <w:r w:rsidRPr="0075133B">
        <w:rPr>
          <w:szCs w:val="22"/>
          <w:u w:val="single"/>
        </w:rPr>
        <w:t>montant par unité</w:t>
      </w:r>
      <w:r w:rsidRPr="0075133B">
        <w:rPr>
          <w:szCs w:val="22"/>
        </w:rPr>
        <w:t>;</w:t>
      </w:r>
    </w:p>
    <w:p w14:paraId="2A968F74" w14:textId="77777777" w:rsidR="00BF7060" w:rsidRPr="0075133B" w:rsidRDefault="00BF7060" w:rsidP="00575041">
      <w:pPr>
        <w:numPr>
          <w:ilvl w:val="0"/>
          <w:numId w:val="24"/>
        </w:numPr>
        <w:rPr>
          <w:szCs w:val="22"/>
        </w:rPr>
      </w:pPr>
      <w:r w:rsidRPr="0075133B">
        <w:rPr>
          <w:b/>
          <w:szCs w:val="22"/>
        </w:rPr>
        <w:t xml:space="preserve">montants forfaitaires: </w:t>
      </w:r>
      <w:r w:rsidRPr="0075133B">
        <w:rPr>
          <w:szCs w:val="22"/>
        </w:rPr>
        <w:t xml:space="preserve">couvrent </w:t>
      </w:r>
      <w:r w:rsidRPr="0075133B">
        <w:rPr>
          <w:szCs w:val="22"/>
          <w:u w:val="single"/>
        </w:rPr>
        <w:t>globalement</w:t>
      </w:r>
      <w:r w:rsidRPr="0075133B">
        <w:rPr>
          <w:szCs w:val="22"/>
        </w:rPr>
        <w:t xml:space="preserve"> tout ou partie des catégories spécifiques de coûts éligibles qui sont clairement déterminées à l’avance;</w:t>
      </w:r>
    </w:p>
    <w:p w14:paraId="6D0A2683" w14:textId="77777777" w:rsidR="006A3B4C" w:rsidRPr="0075133B" w:rsidRDefault="00BF7060" w:rsidP="00575041">
      <w:pPr>
        <w:numPr>
          <w:ilvl w:val="0"/>
          <w:numId w:val="24"/>
        </w:numPr>
        <w:rPr>
          <w:szCs w:val="22"/>
        </w:rPr>
      </w:pPr>
      <w:r w:rsidRPr="0075133B">
        <w:rPr>
          <w:b/>
          <w:szCs w:val="22"/>
        </w:rPr>
        <w:t xml:space="preserve">financement à taux forfaitaire: </w:t>
      </w:r>
      <w:r w:rsidRPr="0075133B">
        <w:rPr>
          <w:szCs w:val="22"/>
        </w:rPr>
        <w:t>couvrent des catégories spécifiques de coûts éligibles qui sont clairement déterminées à l’avance par l’</w:t>
      </w:r>
      <w:r w:rsidRPr="0075133B">
        <w:rPr>
          <w:szCs w:val="22"/>
          <w:u w:val="single"/>
        </w:rPr>
        <w:t>application d’un pourcentage</w:t>
      </w:r>
      <w:r w:rsidRPr="0075133B">
        <w:rPr>
          <w:szCs w:val="22"/>
        </w:rPr>
        <w:t xml:space="preserve"> fixé à l’avance.</w:t>
      </w:r>
    </w:p>
    <w:p w14:paraId="39745378" w14:textId="77777777" w:rsidR="00AD295A" w:rsidRPr="0075133B" w:rsidRDefault="00AD295A" w:rsidP="00F53E16">
      <w:pPr>
        <w:ind w:left="720"/>
        <w:rPr>
          <w:szCs w:val="22"/>
        </w:rPr>
      </w:pPr>
    </w:p>
    <w:p w14:paraId="3EB30161" w14:textId="77777777" w:rsidR="006328A5" w:rsidRPr="0075133B" w:rsidRDefault="00BF7060" w:rsidP="00F53E16">
      <w:pPr>
        <w:rPr>
          <w:szCs w:val="22"/>
        </w:rPr>
      </w:pPr>
      <w:r w:rsidRPr="0075133B">
        <w:rPr>
          <w:szCs w:val="22"/>
        </w:rPr>
        <w:t>Les options simplifiées en matière de coûts (OSC)</w:t>
      </w:r>
      <w:r w:rsidR="006328A5" w:rsidRPr="0075133B">
        <w:rPr>
          <w:szCs w:val="22"/>
        </w:rPr>
        <w:t xml:space="preserve"> qui peuvent être proposées sont les suivants </w:t>
      </w:r>
      <w:r w:rsidRPr="0075133B">
        <w:rPr>
          <w:szCs w:val="22"/>
        </w:rPr>
        <w:t>:</w:t>
      </w:r>
    </w:p>
    <w:p w14:paraId="7448B775" w14:textId="7CBC9D45" w:rsidR="00BF7060" w:rsidRPr="005B64DF" w:rsidRDefault="00A848FC" w:rsidP="00BF7060">
      <w:pPr>
        <w:rPr>
          <w:szCs w:val="22"/>
        </w:rPr>
      </w:pPr>
      <w:r w:rsidRPr="0075133B">
        <w:rPr>
          <w:szCs w:val="22"/>
        </w:rPr>
        <w:t>Les</w:t>
      </w:r>
      <w:r w:rsidR="00AD295A" w:rsidRPr="0075133B">
        <w:rPr>
          <w:szCs w:val="22"/>
        </w:rPr>
        <w:t xml:space="preserve"> «OCS basées sur les produits ou les résultats»: cette catégorie comprend les coûts liés aux produits, aux résultats, aux activités, aux éléments livrables dans le cadre d’un projet spécifique (par exemple la détermination d’un montant forfaitaire pour l’organisation d’une conférence, ou pour la réalisation d’un extrant ou d’une activité déterminés). Quand cela est possible et approprié, les montants forfaitaires</w:t>
      </w:r>
      <w:r w:rsidR="006328A5" w:rsidRPr="0075133B">
        <w:rPr>
          <w:szCs w:val="22"/>
        </w:rPr>
        <w:t xml:space="preserve"> ou </w:t>
      </w:r>
      <w:r w:rsidR="006328A5" w:rsidRPr="005B64DF">
        <w:rPr>
          <w:szCs w:val="22"/>
        </w:rPr>
        <w:t>les</w:t>
      </w:r>
      <w:r w:rsidR="00AD295A" w:rsidRPr="005B64DF">
        <w:rPr>
          <w:szCs w:val="22"/>
        </w:rPr>
        <w:t xml:space="preserve"> coûts unitaires sont déterminés de manière à permettre leur versement lorsque des produits et/ou des résultats concrets sont obtenus. Ce type d’OSC peut être proposé par le bénéficiaire (aucun seuil n’est applicable) au stade de la proposition (à l’annexe A.2 – formulaire de demande de subvention – demande complète). Si le comité d’évaluation n’est pas convaincu par la justification fournie, un remboursement sur la base des frais effectivement supportés est toujours possible;</w:t>
      </w:r>
    </w:p>
    <w:p w14:paraId="24B2FFD0" w14:textId="77777777" w:rsidR="00633C06" w:rsidRPr="005B64DF" w:rsidRDefault="007E5576" w:rsidP="0068216F">
      <w:pPr>
        <w:rPr>
          <w:szCs w:val="22"/>
        </w:rPr>
      </w:pPr>
      <w:r w:rsidRPr="005B64DF">
        <w:rPr>
          <w:szCs w:val="22"/>
        </w:rPr>
        <w:lastRenderedPageBreak/>
        <w:t>Consultez l’annexe K pour connaître le détail de la procédure à suivre selon le type et le montant des coûts à déclarer comme OSC.</w:t>
      </w:r>
    </w:p>
    <w:p w14:paraId="020C8F3B" w14:textId="77777777" w:rsidR="0080592F" w:rsidRPr="005B64DF" w:rsidRDefault="00466C25" w:rsidP="0068216F">
      <w:pPr>
        <w:rPr>
          <w:szCs w:val="22"/>
        </w:rPr>
      </w:pPr>
      <w:r w:rsidRPr="005B64DF">
        <w:rPr>
          <w:szCs w:val="22"/>
        </w:rPr>
        <w:t xml:space="preserve">Les demandeurs proposant cette forme de remboursement doivent faire apparaître clairement, dans la feuille de calcul nº 1 de l’annexe B, chaque rubrique/poste de coûts éligibles concerné(e) par ce type de financement, en indiquant, en lettres capitales, la mention «COÛT UNITAIRE», «MONTANT FORFAITAIRE» dans la colonne «Unité» (voir l’exemple dans l’annexe K). </w:t>
      </w:r>
    </w:p>
    <w:p w14:paraId="36DF748B" w14:textId="77777777" w:rsidR="00E47803" w:rsidRPr="005B64DF" w:rsidRDefault="00E47803" w:rsidP="0068216F">
      <w:pPr>
        <w:rPr>
          <w:szCs w:val="22"/>
        </w:rPr>
      </w:pPr>
      <w:r w:rsidRPr="005B64DF">
        <w:rPr>
          <w:szCs w:val="22"/>
        </w:rPr>
        <w:t>En outre, à l’annexe B, dans la deuxième colonne de la feuille de calcul nº 2 «Justification des coûts estimés», les demandeurs doivent, pour chaque rubrique ou poste budgétaire correspondant:</w:t>
      </w:r>
    </w:p>
    <w:p w14:paraId="3586D57C" w14:textId="77777777" w:rsidR="00E47803" w:rsidRPr="005B64DF" w:rsidRDefault="00E47803" w:rsidP="00575041">
      <w:pPr>
        <w:numPr>
          <w:ilvl w:val="0"/>
          <w:numId w:val="25"/>
        </w:numPr>
        <w:rPr>
          <w:szCs w:val="22"/>
        </w:rPr>
      </w:pPr>
      <w:r w:rsidRPr="005B64DF">
        <w:rPr>
          <w:szCs w:val="22"/>
        </w:rPr>
        <w:t>décrire les informations et les méthodes utilisées pour déterminer les montants des coûts unitaires</w:t>
      </w:r>
      <w:r w:rsidR="006328A5" w:rsidRPr="005B64DF">
        <w:rPr>
          <w:szCs w:val="22"/>
        </w:rPr>
        <w:t xml:space="preserve"> et/ou</w:t>
      </w:r>
      <w:r w:rsidRPr="005B64DF">
        <w:rPr>
          <w:szCs w:val="22"/>
        </w:rPr>
        <w:t xml:space="preserve"> les montants forfaitaires, indiquer à quels coûts ils se réfèrent, etc. pour les OSC fondées sur les produits ou les résultats;</w:t>
      </w:r>
    </w:p>
    <w:p w14:paraId="10B8D07D" w14:textId="77777777" w:rsidR="00E47803" w:rsidRPr="005B64DF" w:rsidRDefault="00E47803" w:rsidP="00575041">
      <w:pPr>
        <w:numPr>
          <w:ilvl w:val="0"/>
          <w:numId w:val="25"/>
        </w:numPr>
        <w:rPr>
          <w:bCs/>
          <w:szCs w:val="22"/>
        </w:rPr>
      </w:pPr>
      <w:r w:rsidRPr="005B64DF">
        <w:rPr>
          <w:szCs w:val="22"/>
        </w:rPr>
        <w:t>expliquer clairement les formules de calcul du montant éligible final pour les OSC fondées sur les produits ou les résultats</w:t>
      </w:r>
      <w:r w:rsidR="006328A5" w:rsidRPr="005B64DF">
        <w:rPr>
          <w:szCs w:val="22"/>
        </w:rPr>
        <w:t>.</w:t>
      </w:r>
    </w:p>
    <w:p w14:paraId="1D23081B" w14:textId="77777777" w:rsidR="006A7D36" w:rsidRPr="005B64DF" w:rsidRDefault="00C14F69" w:rsidP="0068216F">
      <w:pPr>
        <w:rPr>
          <w:szCs w:val="22"/>
        </w:rPr>
      </w:pPr>
      <w:r w:rsidRPr="005B64DF">
        <w:rPr>
          <w:szCs w:val="22"/>
        </w:rPr>
        <w:t>Dans le cas d’OSC fondées sur les produits ou les résultats, le comité d’évaluation décide s’il accepte ou non les montants ou taux proposés sur la base du budget prévisionnel soumis par les demandeurs, en analysant les données factuelles des subventions utilisées par les demandeurs ou d’actions similaires. Si le comité d’évaluation n’est pas convaincu par la justification fournie, un remboursement sur la base des frais effectivement supportés est toujours possible.</w:t>
      </w:r>
    </w:p>
    <w:p w14:paraId="63FAAC3A" w14:textId="77777777" w:rsidR="0069482E" w:rsidRPr="005B64DF" w:rsidRDefault="00C14F69" w:rsidP="0068216F">
      <w:pPr>
        <w:rPr>
          <w:szCs w:val="22"/>
        </w:rPr>
      </w:pPr>
      <w:r w:rsidRPr="005B64DF">
        <w:rPr>
          <w:szCs w:val="22"/>
        </w:rPr>
        <w:t xml:space="preserve">Aucun seuil n’est fixé à l’avance pour le montant total de financement pouvant être autorisé par l’administration contractante sur la base des options simplifiées en matière de coûts. </w:t>
      </w:r>
    </w:p>
    <w:p w14:paraId="22AE24A8" w14:textId="77777777" w:rsidR="0007408E" w:rsidRPr="005B64DF" w:rsidRDefault="0007408E" w:rsidP="0068216F">
      <w:pPr>
        <w:rPr>
          <w:szCs w:val="22"/>
        </w:rPr>
      </w:pPr>
      <w:r w:rsidRPr="005B64DF">
        <w:rPr>
          <w:szCs w:val="22"/>
        </w:rPr>
        <w:t>Les recommandations d’attribuer une subvention sont toujours subordonnées à la condition que les vérifications précédant la signature du contrat de subvention ne révèlent pas de problèmes nécessitant des modifications du budget (par exemple, les erreurs arithmétiques, les inexactitudes, les coûts irréalistes et les coûts non éligibles). Cette procédure de vérification peut donner lieu à des demandes d’éclaircissements et conduire l’administration contractante à imposer des modifications ou des réductions afin de corriger ces erreurs ou inexactitudes. Ces corrections ne peuvent entraîner une augmentation de la subvention ou du pourcentage du cofinancement de l’Union.</w:t>
      </w:r>
    </w:p>
    <w:p w14:paraId="0DC116FA" w14:textId="77777777" w:rsidR="0007408E" w:rsidRPr="005B64DF" w:rsidRDefault="0007408E" w:rsidP="0068216F">
      <w:pPr>
        <w:rPr>
          <w:szCs w:val="22"/>
        </w:rPr>
      </w:pPr>
      <w:r w:rsidRPr="005B64DF">
        <w:rPr>
          <w:szCs w:val="22"/>
        </w:rPr>
        <w:t xml:space="preserve">En conséquence, il est dans l’intérêt des demandeurs de fournir un </w:t>
      </w:r>
      <w:r w:rsidRPr="005B64DF">
        <w:rPr>
          <w:b/>
          <w:szCs w:val="22"/>
        </w:rPr>
        <w:t>budget réaliste et d’un rapport coût-efficacité convenable</w:t>
      </w:r>
      <w:r w:rsidRPr="005B64DF">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46650" w:rsidRPr="005B64DF" w14:paraId="16AA0252" w14:textId="77777777" w:rsidTr="00946650">
        <w:tc>
          <w:tcPr>
            <w:tcW w:w="9854" w:type="dxa"/>
          </w:tcPr>
          <w:p w14:paraId="439B3569" w14:textId="77777777" w:rsidR="00946650" w:rsidRPr="005B64DF" w:rsidRDefault="00946650" w:rsidP="00946650">
            <w:pPr>
              <w:tabs>
                <w:tab w:val="left" w:pos="993"/>
              </w:tabs>
              <w:rPr>
                <w:szCs w:val="22"/>
              </w:rPr>
            </w:pPr>
            <w:r w:rsidRPr="005B64DF">
              <w:rPr>
                <w:szCs w:val="22"/>
              </w:rPr>
              <w:t>La subvention peut prendre la forme d’un montant forfaitaire unique couvrant l’intégralité des coûts éligibles d’une action ou d’un programme de travail.</w:t>
            </w:r>
          </w:p>
          <w:p w14:paraId="345CC6A6" w14:textId="77777777" w:rsidR="00946650" w:rsidRPr="005B64DF" w:rsidRDefault="00946650" w:rsidP="00BA6979">
            <w:pPr>
              <w:tabs>
                <w:tab w:val="left" w:pos="993"/>
              </w:tabs>
              <w:rPr>
                <w:szCs w:val="22"/>
              </w:rPr>
            </w:pPr>
            <w:r w:rsidRPr="005B64DF">
              <w:rPr>
                <w:szCs w:val="22"/>
              </w:rPr>
              <w:t>Les montants forfaitaires uniques peuvent être déterminés sur la base du budget prévisionnel, qui doit respecter les principes d’économie, d’efficience et d’efficacité. Le respect de ces principes est vérifié ex ante au moment de l’évaluation de la demande de subvention.</w:t>
            </w:r>
          </w:p>
          <w:p w14:paraId="663DAF69" w14:textId="77777777" w:rsidR="00946650" w:rsidRPr="005B64DF" w:rsidRDefault="00946650" w:rsidP="00BA6979">
            <w:pPr>
              <w:tabs>
                <w:tab w:val="left" w:pos="993"/>
              </w:tabs>
              <w:rPr>
                <w:szCs w:val="22"/>
              </w:rPr>
            </w:pPr>
            <w:r w:rsidRPr="005B64DF">
              <w:rPr>
                <w:szCs w:val="22"/>
              </w:rPr>
              <w:t xml:space="preserve">Lorsqu’il autorise des montants forfaitaires uniques, l’ordonnateur compétent se conforme aux conditions applicables aux OSC fondées sur les produits ou sur les résultats. </w:t>
            </w:r>
          </w:p>
          <w:p w14:paraId="677F3891" w14:textId="77777777" w:rsidR="00946650" w:rsidRPr="005B64DF" w:rsidRDefault="00946650" w:rsidP="00BA6979">
            <w:pPr>
              <w:tabs>
                <w:tab w:val="left" w:pos="993"/>
              </w:tabs>
              <w:rPr>
                <w:b/>
                <w:szCs w:val="22"/>
              </w:rPr>
            </w:pPr>
            <w:r w:rsidRPr="005B64DF">
              <w:rPr>
                <w:szCs w:val="22"/>
              </w:rPr>
              <w:t xml:space="preserve">Lorsque cette forme de financement est utilisée, la description de l’action comporte des informations détaillées sur les conditions essentielles qui déclenchent le paiement, y compris, s’il y a lieu, les produits et/ou les résultats obtenus. </w:t>
            </w:r>
          </w:p>
        </w:tc>
      </w:tr>
    </w:tbl>
    <w:p w14:paraId="1327CFFF" w14:textId="77777777" w:rsidR="00946650" w:rsidRPr="005B64DF" w:rsidRDefault="00946650" w:rsidP="00946650">
      <w:pPr>
        <w:rPr>
          <w:szCs w:val="22"/>
          <w:u w:val="single"/>
        </w:rPr>
      </w:pPr>
    </w:p>
    <w:p w14:paraId="583B9670" w14:textId="77777777" w:rsidR="00C554EF" w:rsidRDefault="00C554EF" w:rsidP="0068216F">
      <w:pPr>
        <w:rPr>
          <w:szCs w:val="22"/>
          <w:u w:val="single"/>
        </w:rPr>
      </w:pPr>
    </w:p>
    <w:p w14:paraId="4C6AE722" w14:textId="77777777" w:rsidR="00C554EF" w:rsidRDefault="00C554EF" w:rsidP="0068216F">
      <w:pPr>
        <w:rPr>
          <w:szCs w:val="22"/>
          <w:u w:val="single"/>
        </w:rPr>
      </w:pPr>
    </w:p>
    <w:p w14:paraId="796312B2" w14:textId="7B56CFB2" w:rsidR="0007408E" w:rsidRPr="005B64DF" w:rsidRDefault="0007408E" w:rsidP="0068216F">
      <w:pPr>
        <w:rPr>
          <w:szCs w:val="22"/>
          <w:u w:val="single"/>
        </w:rPr>
      </w:pPr>
      <w:r w:rsidRPr="005B64DF">
        <w:rPr>
          <w:szCs w:val="22"/>
          <w:u w:val="single"/>
        </w:rPr>
        <w:lastRenderedPageBreak/>
        <w:t>Coûts directs éligibles</w:t>
      </w:r>
    </w:p>
    <w:p w14:paraId="68D1252E" w14:textId="77777777" w:rsidR="0007408E" w:rsidRPr="005B64DF" w:rsidRDefault="0007408E" w:rsidP="0068216F">
      <w:pPr>
        <w:rPr>
          <w:szCs w:val="22"/>
        </w:rPr>
      </w:pPr>
      <w:r w:rsidRPr="005B64DF">
        <w:rPr>
          <w:szCs w:val="22"/>
        </w:rPr>
        <w:t>Pour être éligibles au titre du présent appel à propositions, les coûts doivent respecter les dispositions de l’article 14 des conditions générales du contrat type de subvention (voir annexe G des lignes directrices).</w:t>
      </w:r>
    </w:p>
    <w:p w14:paraId="3A8C52EB" w14:textId="77777777" w:rsidR="007034C6" w:rsidRPr="005B64DF" w:rsidRDefault="007034C6" w:rsidP="0068216F">
      <w:pPr>
        <w:rPr>
          <w:szCs w:val="22"/>
          <w:u w:val="single"/>
        </w:rPr>
      </w:pPr>
      <w:r w:rsidRPr="005B64DF">
        <w:rPr>
          <w:szCs w:val="22"/>
          <w:u w:val="single"/>
        </w:rPr>
        <w:t>Réserve pour imprévus</w:t>
      </w:r>
    </w:p>
    <w:p w14:paraId="3455C8DB" w14:textId="77777777" w:rsidR="007034C6" w:rsidRPr="005B64DF" w:rsidRDefault="000B1032" w:rsidP="0068216F">
      <w:pPr>
        <w:rPr>
          <w:szCs w:val="22"/>
        </w:rPr>
      </w:pPr>
      <w:r w:rsidRPr="005B64DF">
        <w:rPr>
          <w:szCs w:val="22"/>
        </w:rPr>
        <w:t>Le budget peut inclure une réserve pour imprévus correspondant au maximum à 5 % des coûts directs éligibles estimés. Celle-ci ne peut être utilisée qu’avec l’</w:t>
      </w:r>
      <w:r w:rsidRPr="005B64DF">
        <w:rPr>
          <w:b/>
          <w:szCs w:val="22"/>
        </w:rPr>
        <w:t>autorisation écrite</w:t>
      </w:r>
      <w:r w:rsidRPr="005B64DF">
        <w:rPr>
          <w:szCs w:val="22"/>
        </w:rPr>
        <w:t xml:space="preserve"> </w:t>
      </w:r>
      <w:r w:rsidRPr="005B64DF">
        <w:rPr>
          <w:b/>
          <w:szCs w:val="22"/>
        </w:rPr>
        <w:t>préalable</w:t>
      </w:r>
      <w:r w:rsidRPr="005B64DF">
        <w:rPr>
          <w:szCs w:val="22"/>
        </w:rPr>
        <w:t xml:space="preserve"> de l’administration contractante.</w:t>
      </w:r>
    </w:p>
    <w:p w14:paraId="5A0737F9" w14:textId="77777777" w:rsidR="0007408E" w:rsidRPr="005B64DF" w:rsidRDefault="0007408E" w:rsidP="0068216F">
      <w:pPr>
        <w:rPr>
          <w:szCs w:val="22"/>
          <w:u w:val="single"/>
        </w:rPr>
      </w:pPr>
      <w:r w:rsidRPr="005B64DF">
        <w:rPr>
          <w:szCs w:val="22"/>
          <w:u w:val="single"/>
        </w:rPr>
        <w:t>Coûts indirects éligibles</w:t>
      </w:r>
    </w:p>
    <w:p w14:paraId="61FB310F" w14:textId="77777777" w:rsidR="00460729" w:rsidRPr="005B64DF" w:rsidRDefault="00460729" w:rsidP="0068216F">
      <w:pPr>
        <w:rPr>
          <w:szCs w:val="22"/>
        </w:rPr>
      </w:pPr>
      <w:r w:rsidRPr="005B64DF">
        <w:rPr>
          <w:szCs w:val="22"/>
        </w:rPr>
        <w:t>Les coûts indirects supportés pendant la mise en œuvre de l’action peuvent être éligibles à un financement à taux forfaitaire, à hauteur de 7 % maximum du total estimé des coûts directs éligibles. Les coûts indirects sont éligibles pour autant qu’ils n’incluent pas de coûts portés en compte sur une autre rubrique du budget dans le contrat type de subvention. Le demandeur chef de file peut être invité à justifier le pourcentage demandé avant la signature du contrat de subvention. Néanmoins, une fois le taux forfaitaire fixé dans les conditions particulières du contrat de subvention, aucune pièce justificative ne doit être fournie.</w:t>
      </w:r>
    </w:p>
    <w:p w14:paraId="7C95F1F9" w14:textId="77777777" w:rsidR="00460729" w:rsidRPr="005B64DF" w:rsidRDefault="00460729" w:rsidP="0068216F">
      <w:pPr>
        <w:rPr>
          <w:szCs w:val="22"/>
        </w:rPr>
      </w:pPr>
      <w:r w:rsidRPr="005B64DF">
        <w:rPr>
          <w:szCs w:val="22"/>
        </w:rPr>
        <w:t>Si un des demandeurs ou une des entités affiliées bénéficie d’une subvention de fonctionnement financée par l’Union, il/elle ne peut inscrire des coûts indirects sur les coûts qu’il/elle supporte au budget proposé pour l’action.</w:t>
      </w:r>
    </w:p>
    <w:p w14:paraId="1F70E262" w14:textId="77777777" w:rsidR="0007408E" w:rsidRPr="005B64DF" w:rsidRDefault="0007408E" w:rsidP="0068216F">
      <w:pPr>
        <w:rPr>
          <w:szCs w:val="22"/>
          <w:u w:val="single"/>
        </w:rPr>
      </w:pPr>
      <w:r w:rsidRPr="005B64DF">
        <w:rPr>
          <w:szCs w:val="22"/>
          <w:u w:val="single"/>
        </w:rPr>
        <w:t>Contributions en nature</w:t>
      </w:r>
    </w:p>
    <w:p w14:paraId="48A98612" w14:textId="77777777" w:rsidR="00844680" w:rsidRPr="005B64DF" w:rsidRDefault="008A62F6" w:rsidP="0068216F">
      <w:pPr>
        <w:rPr>
          <w:szCs w:val="22"/>
        </w:rPr>
      </w:pPr>
      <w:r w:rsidRPr="005B64DF">
        <w:rPr>
          <w:szCs w:val="22"/>
        </w:rPr>
        <w:t>Par</w:t>
      </w:r>
      <w:r w:rsidR="00575E2E" w:rsidRPr="005B64DF">
        <w:rPr>
          <w:szCs w:val="22"/>
        </w:rPr>
        <w:t xml:space="preserve"> « contributions</w:t>
      </w:r>
      <w:r w:rsidRPr="005B64DF">
        <w:rPr>
          <w:szCs w:val="22"/>
        </w:rPr>
        <w:t xml:space="preserve"> en </w:t>
      </w:r>
      <w:r w:rsidR="00575E2E" w:rsidRPr="005B64DF">
        <w:rPr>
          <w:szCs w:val="22"/>
        </w:rPr>
        <w:t>nature »</w:t>
      </w:r>
      <w:r w:rsidRPr="005B64DF">
        <w:rPr>
          <w:szCs w:val="22"/>
        </w:rPr>
        <w:t xml:space="preserve">, il faut entendre les biens ou services mis gracieusement à la disposition des bénéficiaires ou des entités affiliées par un tiers. Les contributions en nature n’impliquant aucune dépense pour les bénéficiaires ou les entités affiliées, elles ne constituent pas des coûts éligibles (à l’exception des coûts de personnel pour les travaux effectués par des bénévoles dans le cadre d’une action ou d’une subvention de fonctionnement, si autorisé). </w:t>
      </w:r>
    </w:p>
    <w:p w14:paraId="2A892A6C" w14:textId="77777777" w:rsidR="00F52B38" w:rsidRPr="005B64DF" w:rsidRDefault="007815B2" w:rsidP="0068216F">
      <w:pPr>
        <w:rPr>
          <w:szCs w:val="22"/>
        </w:rPr>
      </w:pPr>
      <w:r w:rsidRPr="005B64DF">
        <w:rPr>
          <w:szCs w:val="22"/>
        </w:rPr>
        <w:t>Les contributions en nature ne peuvent être considérées comme un cofinancement.</w:t>
      </w:r>
    </w:p>
    <w:p w14:paraId="6B2D2874" w14:textId="77777777" w:rsidR="00F52B38" w:rsidRPr="005B64DF" w:rsidRDefault="00BC7EE3" w:rsidP="0068216F">
      <w:pPr>
        <w:rPr>
          <w:szCs w:val="22"/>
        </w:rPr>
      </w:pPr>
      <w:r w:rsidRPr="005B64DF">
        <w:rPr>
          <w:szCs w:val="22"/>
        </w:rPr>
        <w:t>Toutefois, si la description de l’action proposée contient des contributions en nature, ce</w:t>
      </w:r>
      <w:r w:rsidR="008E109B" w:rsidRPr="005B64DF">
        <w:rPr>
          <w:szCs w:val="22"/>
        </w:rPr>
        <w:t>s apports doivent être fournis.</w:t>
      </w:r>
    </w:p>
    <w:p w14:paraId="3E75E553" w14:textId="77777777" w:rsidR="005C4541" w:rsidRPr="005B64DF" w:rsidRDefault="00EB11B8" w:rsidP="0068216F">
      <w:pPr>
        <w:rPr>
          <w:szCs w:val="22"/>
        </w:rPr>
      </w:pPr>
      <w:r w:rsidRPr="005B64DF">
        <w:rPr>
          <w:szCs w:val="22"/>
        </w:rPr>
        <w:t>Les autres cofinancements sont basés sur des estimations fournies par le demandeur.</w:t>
      </w:r>
    </w:p>
    <w:p w14:paraId="4BEB6C4E" w14:textId="77777777" w:rsidR="00511112" w:rsidRPr="005B64DF" w:rsidRDefault="00511112" w:rsidP="0068216F">
      <w:pPr>
        <w:rPr>
          <w:szCs w:val="22"/>
          <w:u w:val="single"/>
        </w:rPr>
      </w:pPr>
      <w:r w:rsidRPr="005B64DF">
        <w:rPr>
          <w:szCs w:val="22"/>
          <w:u w:val="single"/>
        </w:rPr>
        <w:t>Coûts inéligibles</w:t>
      </w:r>
    </w:p>
    <w:p w14:paraId="21A6CD4C" w14:textId="77777777" w:rsidR="00511112" w:rsidRPr="005B64DF" w:rsidRDefault="00511112" w:rsidP="0068216F">
      <w:pPr>
        <w:rPr>
          <w:szCs w:val="22"/>
        </w:rPr>
      </w:pPr>
      <w:r w:rsidRPr="005B64DF">
        <w:rPr>
          <w:szCs w:val="22"/>
        </w:rPr>
        <w:t>Les coûts suivants ne sont pas éligibles:</w:t>
      </w:r>
    </w:p>
    <w:p w14:paraId="171E91BD" w14:textId="77777777" w:rsidR="00AC1803" w:rsidRPr="005B64DF" w:rsidRDefault="00511112" w:rsidP="00575041">
      <w:pPr>
        <w:numPr>
          <w:ilvl w:val="0"/>
          <w:numId w:val="27"/>
        </w:numPr>
        <w:rPr>
          <w:szCs w:val="22"/>
        </w:rPr>
      </w:pPr>
      <w:r w:rsidRPr="005B64DF">
        <w:rPr>
          <w:szCs w:val="22"/>
        </w:rPr>
        <w:t>les dettes et la charge de la dette (intérêts);</w:t>
      </w:r>
    </w:p>
    <w:p w14:paraId="0AC9AAD3" w14:textId="77777777" w:rsidR="00511112" w:rsidRPr="005B64DF" w:rsidRDefault="00AC1803" w:rsidP="00575041">
      <w:pPr>
        <w:numPr>
          <w:ilvl w:val="0"/>
          <w:numId w:val="27"/>
        </w:numPr>
        <w:rPr>
          <w:szCs w:val="22"/>
        </w:rPr>
      </w:pPr>
      <w:r w:rsidRPr="005B64DF">
        <w:rPr>
          <w:szCs w:val="22"/>
        </w:rPr>
        <w:t>les provisions pour pertes ou dettes futures éventuelles;</w:t>
      </w:r>
    </w:p>
    <w:p w14:paraId="75AB05BD" w14:textId="77777777" w:rsidR="00511112" w:rsidRPr="005B64DF" w:rsidRDefault="00AC1803" w:rsidP="00575041">
      <w:pPr>
        <w:numPr>
          <w:ilvl w:val="0"/>
          <w:numId w:val="27"/>
        </w:numPr>
        <w:rPr>
          <w:szCs w:val="22"/>
        </w:rPr>
      </w:pPr>
      <w:r w:rsidRPr="005B64DF">
        <w:rPr>
          <w:szCs w:val="22"/>
        </w:rPr>
        <w:t>les coûts déclarés par le(s) bénéficiaire(s) et financés par une autre action ou un autre programme de travail bénéficiant d’une subvention de l’Union européenne (y compris par le FED);</w:t>
      </w:r>
    </w:p>
    <w:p w14:paraId="3D08207E" w14:textId="77777777" w:rsidR="00511112" w:rsidRPr="005B64DF" w:rsidRDefault="00511112" w:rsidP="00575041">
      <w:pPr>
        <w:numPr>
          <w:ilvl w:val="0"/>
          <w:numId w:val="27"/>
        </w:numPr>
        <w:rPr>
          <w:szCs w:val="22"/>
        </w:rPr>
      </w:pPr>
      <w:r w:rsidRPr="005B64DF">
        <w:rPr>
          <w:szCs w:val="22"/>
        </w:rPr>
        <w:t>les achats de terrains ou d’immeubles, sauf si ces achats sont indispensables à la mise en œuvre directe de l’action, auquel cas leur propriété doit être transférée conformément à l’article 7.5 des conditions générales du contrat type de subvention, au plus tard à l’issue de l’action;</w:t>
      </w:r>
    </w:p>
    <w:p w14:paraId="7BD34CEC" w14:textId="77777777" w:rsidR="00511112" w:rsidRPr="005B64DF" w:rsidRDefault="00511112" w:rsidP="00575041">
      <w:pPr>
        <w:numPr>
          <w:ilvl w:val="0"/>
          <w:numId w:val="27"/>
        </w:numPr>
        <w:rPr>
          <w:szCs w:val="22"/>
        </w:rPr>
      </w:pPr>
      <w:r w:rsidRPr="005B64DF">
        <w:rPr>
          <w:szCs w:val="22"/>
        </w:rPr>
        <w:t>les pertes de change;</w:t>
      </w:r>
    </w:p>
    <w:p w14:paraId="743B010D" w14:textId="77777777" w:rsidR="00881C75" w:rsidRPr="005B64DF" w:rsidRDefault="00881C75" w:rsidP="00575041">
      <w:pPr>
        <w:numPr>
          <w:ilvl w:val="0"/>
          <w:numId w:val="27"/>
        </w:numPr>
        <w:rPr>
          <w:szCs w:val="22"/>
        </w:rPr>
      </w:pPr>
      <w:r w:rsidRPr="005B64DF">
        <w:rPr>
          <w:szCs w:val="22"/>
        </w:rPr>
        <w:lastRenderedPageBreak/>
        <w:t>les contributions en nature (sauf pour les travaux effectués par des bénévoles);</w:t>
      </w:r>
    </w:p>
    <w:p w14:paraId="16A451BA" w14:textId="77777777" w:rsidR="00881C75" w:rsidRPr="005B64DF" w:rsidRDefault="00881C75" w:rsidP="00575041">
      <w:pPr>
        <w:numPr>
          <w:ilvl w:val="0"/>
          <w:numId w:val="27"/>
        </w:numPr>
        <w:rPr>
          <w:szCs w:val="22"/>
        </w:rPr>
      </w:pPr>
      <w:r w:rsidRPr="005B64DF">
        <w:rPr>
          <w:szCs w:val="22"/>
        </w:rPr>
        <w:t>les primes incluses dans les frais de personnel;</w:t>
      </w:r>
    </w:p>
    <w:p w14:paraId="38E005BE" w14:textId="77777777" w:rsidR="00881C75" w:rsidRPr="005B64DF" w:rsidRDefault="00881C75" w:rsidP="00575041">
      <w:pPr>
        <w:numPr>
          <w:ilvl w:val="0"/>
          <w:numId w:val="27"/>
        </w:numPr>
        <w:rPr>
          <w:szCs w:val="22"/>
        </w:rPr>
      </w:pPr>
      <w:r w:rsidRPr="005B64DF">
        <w:rPr>
          <w:szCs w:val="22"/>
        </w:rPr>
        <w:t>les intérêts négatifs facturés par des banques ou d’autres institutions financières;</w:t>
      </w:r>
    </w:p>
    <w:p w14:paraId="05491435" w14:textId="77777777" w:rsidR="00622E2A" w:rsidRPr="005B64DF" w:rsidRDefault="0061511C" w:rsidP="00575041">
      <w:pPr>
        <w:numPr>
          <w:ilvl w:val="0"/>
          <w:numId w:val="27"/>
        </w:numPr>
        <w:rPr>
          <w:szCs w:val="22"/>
        </w:rPr>
      </w:pPr>
      <w:r w:rsidRPr="005B64DF">
        <w:rPr>
          <w:szCs w:val="22"/>
        </w:rPr>
        <w:t>le coût des salaires du personnel de l’administration nationale.</w:t>
      </w:r>
    </w:p>
    <w:p w14:paraId="5F98E1FC" w14:textId="77777777" w:rsidR="00A80223" w:rsidRPr="005B64DF" w:rsidRDefault="00A80223" w:rsidP="00F53E16">
      <w:pPr>
        <w:rPr>
          <w:szCs w:val="22"/>
        </w:rPr>
      </w:pPr>
    </w:p>
    <w:p w14:paraId="07226B40" w14:textId="77777777" w:rsidR="00B723AF" w:rsidRPr="005B64DF" w:rsidRDefault="00B723AF" w:rsidP="00BF7926">
      <w:pPr>
        <w:pStyle w:val="Guidelines3"/>
        <w:rPr>
          <w:sz w:val="22"/>
          <w:szCs w:val="22"/>
        </w:rPr>
      </w:pPr>
      <w:bookmarkStart w:id="34" w:name="_Toc74830953"/>
      <w:bookmarkStart w:id="35" w:name="_Toc179890133"/>
      <w:bookmarkStart w:id="36" w:name="_Toc182404633"/>
      <w:r w:rsidRPr="005B64DF">
        <w:rPr>
          <w:sz w:val="22"/>
          <w:szCs w:val="22"/>
        </w:rPr>
        <w:t>Clauses déontologiques et code de conduite</w:t>
      </w:r>
      <w:bookmarkEnd w:id="34"/>
      <w:bookmarkEnd w:id="35"/>
      <w:bookmarkEnd w:id="36"/>
      <w:r w:rsidRPr="005B64DF">
        <w:rPr>
          <w:sz w:val="22"/>
          <w:szCs w:val="22"/>
        </w:rPr>
        <w:t xml:space="preserve"> </w:t>
      </w:r>
    </w:p>
    <w:p w14:paraId="4E791C8A" w14:textId="77777777" w:rsidR="00A80223" w:rsidRPr="005B64DF" w:rsidRDefault="00A80223" w:rsidP="00A80223">
      <w:pPr>
        <w:keepNext/>
        <w:spacing w:before="120" w:after="120"/>
        <w:ind w:left="420"/>
        <w:rPr>
          <w:szCs w:val="22"/>
          <w:u w:val="single"/>
        </w:rPr>
      </w:pPr>
      <w:r w:rsidRPr="005B64DF">
        <w:rPr>
          <w:szCs w:val="22"/>
          <w:u w:val="single"/>
        </w:rPr>
        <w:t>a) Absence de conflit d’intérêts</w:t>
      </w:r>
    </w:p>
    <w:p w14:paraId="1748AD02" w14:textId="77777777" w:rsidR="00A80223" w:rsidRPr="005B64DF" w:rsidRDefault="00A80223" w:rsidP="00A80223">
      <w:pPr>
        <w:keepNext/>
        <w:spacing w:before="120" w:after="120"/>
        <w:ind w:left="420"/>
        <w:rPr>
          <w:szCs w:val="22"/>
        </w:rPr>
      </w:pPr>
      <w:r w:rsidRPr="005B64DF">
        <w:rPr>
          <w:szCs w:val="22"/>
        </w:rPr>
        <w:t xml:space="preserve">Le demandeur ne peut avoir aucun conflit d’intérêts ni aucun lien équivalent à cet égard avec d’autres demandeurs ou d’autres parties associés aux actions. Toute tentative de la part d’un demandeur d’obtenir des informations confidentielles, de conclure une entente illicite avec les concurrents ou d’influencer le comité d’évaluation ou l’administration contractante au cours du processus d’examen, de clarification, d’évaluation et de comparaison des demandes conduira au rejet de sa demande et pourra entraîner des sanctions administratives conformément au règlement financier en vigueur. </w:t>
      </w:r>
    </w:p>
    <w:p w14:paraId="5A21D528" w14:textId="77777777" w:rsidR="00A80223" w:rsidRPr="005B64DF" w:rsidRDefault="00A80223" w:rsidP="00A80223">
      <w:pPr>
        <w:keepNext/>
        <w:spacing w:before="120" w:after="120"/>
        <w:ind w:left="420"/>
        <w:rPr>
          <w:szCs w:val="22"/>
        </w:rPr>
      </w:pPr>
      <w:r w:rsidRPr="005B64DF">
        <w:rPr>
          <w:szCs w:val="22"/>
        </w:rPr>
        <w:t>b) </w:t>
      </w:r>
      <w:r w:rsidRPr="005B64DF">
        <w:rPr>
          <w:szCs w:val="22"/>
          <w:u w:val="single"/>
        </w:rPr>
        <w:t>Respect des droits de l’homme ainsi que de la législation environnementale et des normes fondamentales en matière de travail</w:t>
      </w:r>
      <w:r w:rsidRPr="005B64DF">
        <w:rPr>
          <w:szCs w:val="22"/>
        </w:rPr>
        <w:t xml:space="preserve"> </w:t>
      </w:r>
    </w:p>
    <w:p w14:paraId="5EFB388B" w14:textId="77777777" w:rsidR="00A80223" w:rsidRPr="005B64DF" w:rsidRDefault="00A80223" w:rsidP="00A80223">
      <w:pPr>
        <w:keepNext/>
        <w:spacing w:before="120" w:after="120"/>
        <w:ind w:left="420"/>
        <w:rPr>
          <w:szCs w:val="22"/>
        </w:rPr>
      </w:pPr>
      <w:r w:rsidRPr="005B64DF">
        <w:rPr>
          <w:szCs w:val="22"/>
        </w:rPr>
        <w:t>Le demandeur et son personnel doivent respecter les droits de l’homme. En particulier, et conformément à la loi applicable, les demandeurs qui se sont vu attribuer une subvention doivent respecter la législation environnementale, y compris les accords environnementaux multilatéraux, ainsi que les normes fondamentales du travail applicables, telles que définies dans les conventions de l’Organisation internationale du travail en la matière (comme les conventions sur la liberté syndicale et la négociation collective, sur l’élimination du travail forcé ou obligatoire et sur l’abolition du travail des enfants).</w:t>
      </w:r>
    </w:p>
    <w:p w14:paraId="66B5249B" w14:textId="77777777" w:rsidR="00A80223" w:rsidRPr="005B64D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5B64DF">
        <w:rPr>
          <w:b/>
          <w:szCs w:val="22"/>
        </w:rPr>
        <w:t>Tolérance zéro pour l’exploitation, les abus et le harcèlement sexuels</w:t>
      </w:r>
    </w:p>
    <w:p w14:paraId="4E4A2EAA" w14:textId="77777777" w:rsidR="00A80223" w:rsidRPr="005B64D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B64DF">
        <w:rPr>
          <w:szCs w:val="22"/>
        </w:rPr>
        <w:t xml:space="preserve">La Commission européenne applique une politique de «tolérance zéro» en ce qui concerne tout comportement fautif qui a une incidence sur la crédibilité professionnelle du demandeur.  </w:t>
      </w:r>
    </w:p>
    <w:p w14:paraId="0EED203A" w14:textId="77777777" w:rsidR="00A80223" w:rsidRPr="005B64DF"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B64DF">
        <w:rPr>
          <w:szCs w:val="22"/>
        </w:rPr>
        <w:t xml:space="preserve">Sont interdits les sévices ou punitions physiques, les menaces de sévices physiques, les abus sexuels ou l’exploitation sexuelle, le harcèlement et les violences verbales, ainsi que toute autre forme d’intimidation. </w:t>
      </w:r>
    </w:p>
    <w:p w14:paraId="39FA1D33" w14:textId="77777777" w:rsidR="000D46D7" w:rsidRPr="005B64DF" w:rsidRDefault="00420D0B"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5B64DF">
        <w:rPr>
          <w:szCs w:val="22"/>
        </w:rPr>
        <w:t>Les demandeurs (et leurs entités affiliées) autres que i) les personnes physiques, ii) les entités évaluées sur la base des piliers et iii) les gouvernements et les autres organismes publics dont la demande a été provisoirement sélectionnée ou inscrite sur une liste de réserve évaluent leur politique interne de lutte contre l’exploitation, les abus et le harcèlement sexuels au moyen d’un questionnaire d’auto-évaluation (annexe L). Pour les subventions inférieures ou égales à 60 000 EUR, aucune auto-évaluation n’est requise. Ce questionnaire d’auto-évaluation ne fait pas partie de l’évaluation de la demande complète par l’administration contractante, mais constitue une exigence administrative. Voir la section 2.5.6 du PRAG.</w:t>
      </w:r>
    </w:p>
    <w:p w14:paraId="4B3EF5FC" w14:textId="77777777" w:rsidR="00A80223" w:rsidRPr="005B64DF" w:rsidRDefault="00A80223" w:rsidP="00ED623A">
      <w:pPr>
        <w:ind w:left="420"/>
        <w:rPr>
          <w:szCs w:val="22"/>
        </w:rPr>
      </w:pPr>
      <w:r w:rsidRPr="005B64DF">
        <w:rPr>
          <w:szCs w:val="22"/>
          <w:u w:val="single"/>
        </w:rPr>
        <w:t>c) Lutte contre la corruption</w:t>
      </w:r>
      <w:r w:rsidRPr="005B64DF">
        <w:rPr>
          <w:szCs w:val="22"/>
        </w:rPr>
        <w:t xml:space="preserve"> </w:t>
      </w:r>
    </w:p>
    <w:p w14:paraId="496F90D3" w14:textId="77777777" w:rsidR="00A80223" w:rsidRPr="005B64DF" w:rsidRDefault="00A80223" w:rsidP="00ED623A">
      <w:pPr>
        <w:ind w:left="420"/>
        <w:rPr>
          <w:szCs w:val="22"/>
        </w:rPr>
      </w:pPr>
      <w:r w:rsidRPr="005B64DF">
        <w:rPr>
          <w:szCs w:val="22"/>
        </w:rPr>
        <w:t xml:space="preserve">Le demandeur doit respecter les lois, règlements et codes de conduite applicables en matière de lutte contre la corruption. L’administration contractante se réserve le droit de suspendre ou d’annuler le financement d’un projet si des pratiques de corruption, de quelque nature qu’elles </w:t>
      </w:r>
      <w:r w:rsidRPr="005B64DF">
        <w:rPr>
          <w:szCs w:val="22"/>
        </w:rPr>
        <w:lastRenderedPageBreak/>
        <w:t>soient, sont découvertes à n’importe quel stade de la procédure d’attribution ou pendant l’exécution d’un contrat et si l’administration contractante ne prend pas toutes les mesures appropriées pour remédier à la situation. Aux fins de la présente disposition, on entend par «pratique de corruption» toute offre d’un paiement illicite, d’un présent, d’une gratification ou d’une commission à quiconque à titre d’incitation ou de récompense pour qu’il accomplisse ou s’abstienne d’accomplir des actes ayant trait à l’attribution d’un marché ou à l’exécution d’un marché déjà conclu avec l’administration contractante.</w:t>
      </w:r>
    </w:p>
    <w:p w14:paraId="5813C50B" w14:textId="77777777" w:rsidR="00A80223" w:rsidRPr="005B64DF" w:rsidRDefault="00A80223" w:rsidP="00A80223">
      <w:pPr>
        <w:spacing w:before="120" w:after="120"/>
        <w:ind w:left="567" w:hanging="567"/>
        <w:rPr>
          <w:szCs w:val="22"/>
        </w:rPr>
      </w:pPr>
      <w:r w:rsidRPr="005B64DF">
        <w:rPr>
          <w:szCs w:val="22"/>
        </w:rPr>
        <w:t xml:space="preserve">      d) </w:t>
      </w:r>
      <w:r w:rsidRPr="005B64DF">
        <w:rPr>
          <w:szCs w:val="22"/>
          <w:u w:val="single"/>
        </w:rPr>
        <w:t>Frais commerciaux extraordinaires</w:t>
      </w:r>
      <w:r w:rsidRPr="005B64DF">
        <w:rPr>
          <w:szCs w:val="22"/>
        </w:rPr>
        <w:t xml:space="preserve"> </w:t>
      </w:r>
    </w:p>
    <w:p w14:paraId="097B2166" w14:textId="77777777" w:rsidR="00A80223" w:rsidRPr="005B64DF" w:rsidRDefault="00A80223" w:rsidP="00A80223">
      <w:pPr>
        <w:spacing w:before="120" w:after="120"/>
        <w:ind w:left="397"/>
        <w:rPr>
          <w:szCs w:val="22"/>
        </w:rPr>
      </w:pPr>
      <w:r w:rsidRPr="005B64DF">
        <w:rPr>
          <w:szCs w:val="22"/>
        </w:rPr>
        <w:t>Toute demande est rejetée ou tout contrat résilié dès lors qu’il est constaté que l’attribution de la subvention ou l’exécution du contrat a donné lieu à des frais commerciaux extraordinaires. Les frais commerciaux extraordinaires concernent toute commission non mentionnée au marché principal ou qui ne résulte pas d’un marché conclu en bonne et due forme faisant référence au marché principal, toute commission qui ne rétribue aucun service légitime effectif, toute commission versée dans un paradis fiscal, toute commission versée à un destinataire non clairement identifié ou à une entreprise qui a toutes les apparences d’une société écran.</w:t>
      </w:r>
    </w:p>
    <w:p w14:paraId="53BCF6D5" w14:textId="77777777" w:rsidR="00A80223" w:rsidRPr="005B64DF" w:rsidRDefault="00876E0B" w:rsidP="00A80223">
      <w:pPr>
        <w:spacing w:before="120" w:after="120"/>
        <w:ind w:left="397"/>
        <w:rPr>
          <w:szCs w:val="22"/>
        </w:rPr>
      </w:pPr>
      <w:r w:rsidRPr="005B64DF">
        <w:rPr>
          <w:szCs w:val="22"/>
        </w:rPr>
        <w:t>Les bénéficiaires d’une subvention convaincus d’avoir payé des frais commerciaux extraordinaires dans le cadre de projets financés par l’Union européenne s’exposent, en fonction de la gravité des faits constatés, à la résiliation du contrat, voire à une exclusion définitive du bénéfice des financements de l’Union européenne/du FED.</w:t>
      </w:r>
    </w:p>
    <w:p w14:paraId="13562CBD" w14:textId="77777777" w:rsidR="00A80223" w:rsidRPr="005B64DF" w:rsidRDefault="00876E0B" w:rsidP="00A80223">
      <w:pPr>
        <w:spacing w:before="120" w:after="120"/>
        <w:ind w:left="397"/>
        <w:rPr>
          <w:szCs w:val="22"/>
          <w:u w:val="single"/>
        </w:rPr>
      </w:pPr>
      <w:r w:rsidRPr="005B64DF">
        <w:rPr>
          <w:szCs w:val="22"/>
        </w:rPr>
        <w:t xml:space="preserve">e) </w:t>
      </w:r>
      <w:r w:rsidRPr="005B64DF">
        <w:rPr>
          <w:szCs w:val="22"/>
          <w:u w:val="single"/>
        </w:rPr>
        <w:t>Manquement aux obligations, irrégularités ou fraude</w:t>
      </w:r>
    </w:p>
    <w:p w14:paraId="6BFEFC97" w14:textId="77777777" w:rsidR="00A80223" w:rsidRPr="005B64DF" w:rsidRDefault="00A80223" w:rsidP="00ED623A">
      <w:pPr>
        <w:spacing w:before="120" w:after="120"/>
        <w:ind w:left="397"/>
        <w:rPr>
          <w:szCs w:val="22"/>
        </w:rPr>
      </w:pPr>
      <w:r w:rsidRPr="005B64DF">
        <w:rPr>
          <w:szCs w:val="22"/>
        </w:rPr>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fraudes sont découverts après l’attribution de la subvention, l’administration contractante peut s’abstenir de conclure le contrat.</w:t>
      </w:r>
    </w:p>
    <w:p w14:paraId="302D13F5" w14:textId="77777777" w:rsidR="00357CC0" w:rsidRPr="005B64DF" w:rsidRDefault="0009588C" w:rsidP="00575041">
      <w:pPr>
        <w:pStyle w:val="Guidelines2"/>
        <w:numPr>
          <w:ilvl w:val="1"/>
          <w:numId w:val="17"/>
        </w:numPr>
        <w:rPr>
          <w:rFonts w:ascii="Times New Roman" w:hAnsi="Times New Roman"/>
          <w:sz w:val="22"/>
          <w:szCs w:val="22"/>
        </w:rPr>
      </w:pPr>
      <w:bookmarkStart w:id="37" w:name="_Toc74830954"/>
      <w:bookmarkStart w:id="38" w:name="_Toc179890134"/>
      <w:bookmarkStart w:id="39" w:name="_Toc182404634"/>
      <w:r w:rsidRPr="005B64DF">
        <w:rPr>
          <w:rFonts w:ascii="Times New Roman" w:hAnsi="Times New Roman"/>
          <w:sz w:val="22"/>
          <w:szCs w:val="22"/>
        </w:rPr>
        <w:t>Présentation de la demande et procédures à suivre</w:t>
      </w:r>
      <w:bookmarkEnd w:id="37"/>
      <w:bookmarkEnd w:id="38"/>
      <w:bookmarkEnd w:id="39"/>
    </w:p>
    <w:p w14:paraId="4C637572" w14:textId="77777777" w:rsidR="00F657C9" w:rsidRPr="005B64DF" w:rsidRDefault="00F657C9" w:rsidP="00F657C9">
      <w:pPr>
        <w:rPr>
          <w:szCs w:val="22"/>
        </w:rPr>
      </w:pPr>
      <w:r w:rsidRPr="005B64DF">
        <w:rPr>
          <w:szCs w:val="22"/>
        </w:rPr>
        <w:t>Pour soumettre une demande dans le cadre du présent appel à propositions, les demandeurs chefs de file doivent:</w:t>
      </w:r>
    </w:p>
    <w:p w14:paraId="1E9D6F48" w14:textId="77777777" w:rsidR="00F657C9" w:rsidRPr="005B64DF" w:rsidRDefault="00F657C9" w:rsidP="00575041">
      <w:pPr>
        <w:numPr>
          <w:ilvl w:val="0"/>
          <w:numId w:val="39"/>
        </w:numPr>
        <w:spacing w:before="120" w:after="120"/>
        <w:rPr>
          <w:szCs w:val="22"/>
        </w:rPr>
      </w:pPr>
      <w:r w:rsidRPr="005B64DF">
        <w:rPr>
          <w:szCs w:val="22"/>
        </w:rPr>
        <w:t xml:space="preserve">fournir des informations concernant les organisations associées à l’action. À cette fin, les demandeurs chefs de file, les codemandeurs et les entités affiliées doivent s’enregistrer dans PADOR. Les demandeurs chefs de file doivent s’enregistrer à l’étape de la note succincte de présentation. Les codemandeurs et les entités affiliées doivent s’enregistrer à l’étape de la demande complète. Les demandeurs chefs de file doivent s’assurer que leur profil PADOR est à jour. Veuillez noter que l’enregistrement de ces données dans </w:t>
      </w:r>
      <w:r w:rsidRPr="005B64DF">
        <w:rPr>
          <w:b/>
          <w:szCs w:val="22"/>
        </w:rPr>
        <w:t>PADOR est obligatoire</w:t>
      </w:r>
      <w:r w:rsidRPr="005B64DF">
        <w:rPr>
          <w:szCs w:val="22"/>
        </w:rPr>
        <w:t xml:space="preserve"> pour le présent appel à propositions:</w:t>
      </w:r>
    </w:p>
    <w:p w14:paraId="18C2E0F8" w14:textId="77777777" w:rsidR="00B516DD" w:rsidRPr="005B64DF" w:rsidRDefault="00B516DD" w:rsidP="00B516DD">
      <w:pPr>
        <w:rPr>
          <w:szCs w:val="22"/>
        </w:rPr>
      </w:pPr>
      <w:r w:rsidRPr="005B64DF">
        <w:rPr>
          <w:szCs w:val="22"/>
        </w:rPr>
        <w:t xml:space="preserve">PADOR est une base de données en ligne dans laquelle les organisations enregistrent et mettent régulièrement à jour les données concernant leur entité. Les organisations enregistrées dans PADOR ont un ID unique (ID EuropeAid) qu’elles </w:t>
      </w:r>
      <w:r w:rsidRPr="005B64DF">
        <w:rPr>
          <w:b/>
          <w:szCs w:val="22"/>
        </w:rPr>
        <w:t>doivent mentionner</w:t>
      </w:r>
      <w:r w:rsidRPr="005B64DF">
        <w:rPr>
          <w:szCs w:val="22"/>
        </w:rPr>
        <w:t xml:space="preserve"> dans leur demande. PADOR est accessible via le site internet: </w:t>
      </w:r>
      <w:hyperlink r:id="rId24" w:history="1">
        <w:r w:rsidR="006328A5" w:rsidRPr="005B64DF">
          <w:rPr>
            <w:rStyle w:val="Hyperlink"/>
            <w:color w:val="auto"/>
            <w:szCs w:val="22"/>
          </w:rPr>
          <w:t>https://webgate.ec.europa.eu/pador</w:t>
        </w:r>
      </w:hyperlink>
    </w:p>
    <w:p w14:paraId="073D4C56" w14:textId="77777777" w:rsidR="00B516DD" w:rsidRPr="005B64DF" w:rsidRDefault="00643B20" w:rsidP="00B516DD">
      <w:pPr>
        <w:rPr>
          <w:szCs w:val="22"/>
        </w:rPr>
      </w:pPr>
      <w:r w:rsidRPr="005B64DF">
        <w:rPr>
          <w:szCs w:val="22"/>
        </w:rPr>
        <w:t xml:space="preserve"> S’il est impossible de s’enregistrer en ligne dans PADOR pour des raisons techniques, les demandeurs chefs de file, les codemandeurs et/ou l’entité/les entités affiliée(s) doivent compléter le «formulaire </w:t>
      </w:r>
      <w:r w:rsidRPr="005B64DF">
        <w:rPr>
          <w:szCs w:val="22"/>
        </w:rPr>
        <w:lastRenderedPageBreak/>
        <w:t>d’enregistrement PADOR»</w:t>
      </w:r>
      <w:r w:rsidR="00B516DD" w:rsidRPr="005B64DF">
        <w:rPr>
          <w:rStyle w:val="FootnoteReference"/>
          <w:sz w:val="22"/>
          <w:szCs w:val="22"/>
        </w:rPr>
        <w:footnoteReference w:id="11"/>
      </w:r>
      <w:r w:rsidRPr="005B64DF">
        <w:rPr>
          <w:szCs w:val="22"/>
        </w:rPr>
        <w:t xml:space="preserve"> joint aux présentes lignes directrices. Ce formulaire doit être envoyé </w:t>
      </w:r>
      <w:r w:rsidRPr="005B64DF">
        <w:rPr>
          <w:b/>
          <w:szCs w:val="22"/>
          <w:u w:val="single"/>
        </w:rPr>
        <w:t>avec la demande complète</w:t>
      </w:r>
      <w:r w:rsidRPr="005B64DF">
        <w:rPr>
          <w:szCs w:val="22"/>
        </w:rPr>
        <w:t xml:space="preserve">, pour la date limite de soumission (voir section 2.2.5); </w:t>
      </w:r>
    </w:p>
    <w:p w14:paraId="55A6223C" w14:textId="77777777" w:rsidR="00F657C9" w:rsidRPr="005B64DF" w:rsidRDefault="00F657C9" w:rsidP="00575041">
      <w:pPr>
        <w:numPr>
          <w:ilvl w:val="0"/>
          <w:numId w:val="39"/>
        </w:numPr>
        <w:spacing w:before="120" w:after="120"/>
        <w:ind w:left="284" w:hanging="142"/>
        <w:rPr>
          <w:szCs w:val="22"/>
        </w:rPr>
      </w:pPr>
      <w:r w:rsidRPr="005B64DF">
        <w:rPr>
          <w:szCs w:val="22"/>
        </w:rPr>
        <w:t xml:space="preserve">fournir des informations concernant l’action dans les documents énumérés aux sections 2.2.2 (Où et comment envoyer la note succincte de présentation?) et 2.2.5 (demandes complètes). Veuillez noter que la soumission en ligne via </w:t>
      </w:r>
      <w:r w:rsidRPr="005B64DF">
        <w:rPr>
          <w:b/>
          <w:szCs w:val="22"/>
        </w:rPr>
        <w:t>PROSPECT est obligatoire</w:t>
      </w:r>
      <w:r w:rsidRPr="005B64DF">
        <w:rPr>
          <w:szCs w:val="22"/>
        </w:rPr>
        <w:t xml:space="preserve"> pour le présent appel.</w:t>
      </w:r>
    </w:p>
    <w:p w14:paraId="617C2AF7" w14:textId="77777777" w:rsidR="00F657C9" w:rsidRPr="005B64DF" w:rsidRDefault="00F657C9" w:rsidP="00F657C9">
      <w:pPr>
        <w:rPr>
          <w:szCs w:val="22"/>
        </w:rPr>
      </w:pPr>
      <w:r w:rsidRPr="005B64DF">
        <w:rPr>
          <w:b/>
          <w:szCs w:val="22"/>
        </w:rPr>
        <w:t xml:space="preserve">Il est vivement recommandé de s’enregistrer dans PADOR bien à l’avance et de ne pas attendre la dernière minute avant l’expiration du délai pour soumettre votre demande dans PROSPECT. </w:t>
      </w:r>
    </w:p>
    <w:p w14:paraId="73893765" w14:textId="77777777" w:rsidR="00F657C9" w:rsidRPr="005B64DF" w:rsidRDefault="00F657C9" w:rsidP="00F657C9">
      <w:pPr>
        <w:rPr>
          <w:szCs w:val="22"/>
        </w:rPr>
      </w:pPr>
      <w:r w:rsidRPr="005B64DF">
        <w:rPr>
          <w:szCs w:val="22"/>
        </w:rPr>
        <w:t xml:space="preserve">Avant de commencer à utiliser PADOR et PROSPECT, veuillez lire les guides de l’utilisateur disponible sur le site internet. Toutes les questions relatives à l’utilisation de ces systèmes doivent être adressées au helpdesk informatique à l’adresse: </w:t>
      </w:r>
      <w:hyperlink r:id="rId25" w:history="1">
        <w:r w:rsidRPr="005B64DF">
          <w:rPr>
            <w:rStyle w:val="Hyperlink"/>
            <w:color w:val="auto"/>
            <w:szCs w:val="22"/>
          </w:rPr>
          <w:t>INTPA-SUPPORT-SERVICES@ec.europa.eu</w:t>
        </w:r>
      </w:hyperlink>
      <w:r w:rsidRPr="005B64DF">
        <w:rPr>
          <w:szCs w:val="22"/>
        </w:rPr>
        <w:t xml:space="preserve"> </w:t>
      </w:r>
      <w:r w:rsidRPr="005B64DF">
        <w:rPr>
          <w:b/>
          <w:szCs w:val="22"/>
        </w:rPr>
        <w:t>à l’aide du formulaire d’assistance en ligne de PROSPECT.</w:t>
      </w:r>
    </w:p>
    <w:p w14:paraId="721F0C95" w14:textId="77777777" w:rsidR="008B4806" w:rsidRPr="005B64DF" w:rsidRDefault="008B4806" w:rsidP="00BF7926">
      <w:pPr>
        <w:pStyle w:val="Guidelines3"/>
        <w:rPr>
          <w:sz w:val="22"/>
          <w:szCs w:val="22"/>
        </w:rPr>
      </w:pPr>
      <w:bookmarkStart w:id="40" w:name="_Toc125454352"/>
      <w:bookmarkStart w:id="41" w:name="_Toc74830955"/>
      <w:bookmarkStart w:id="42" w:name="_Toc179890135"/>
      <w:bookmarkStart w:id="43" w:name="_Toc182404635"/>
      <w:r w:rsidRPr="005B64DF">
        <w:rPr>
          <w:sz w:val="22"/>
          <w:szCs w:val="22"/>
        </w:rPr>
        <w:t>Contenu de la note</w:t>
      </w:r>
      <w:bookmarkEnd w:id="40"/>
      <w:r w:rsidRPr="005B64DF">
        <w:rPr>
          <w:sz w:val="22"/>
          <w:szCs w:val="22"/>
        </w:rPr>
        <w:t xml:space="preserve"> succincte de présentation</w:t>
      </w:r>
      <w:bookmarkEnd w:id="41"/>
      <w:bookmarkEnd w:id="42"/>
      <w:bookmarkEnd w:id="43"/>
      <w:r w:rsidRPr="005B64DF">
        <w:rPr>
          <w:sz w:val="22"/>
          <w:szCs w:val="22"/>
        </w:rPr>
        <w:t xml:space="preserve">  </w:t>
      </w:r>
    </w:p>
    <w:p w14:paraId="2C32A9BD" w14:textId="77777777" w:rsidR="00DB0B48" w:rsidRPr="005B64DF" w:rsidRDefault="00DB0B48" w:rsidP="00D570FA">
      <w:pPr>
        <w:spacing w:before="240"/>
        <w:rPr>
          <w:szCs w:val="22"/>
        </w:rPr>
      </w:pPr>
      <w:r w:rsidRPr="005B64DF">
        <w:rPr>
          <w:szCs w:val="22"/>
        </w:rPr>
        <w:t>Les demandes doivent être soumises conformément aux instructions relatives à la note succincte de présentation figurant dans le formulaire de demande de subvention annexé aux présentes lignes directrices (annexe A). Les demandeurs chef de file doivent alors respecter scrupuleusement le format de la note succincte et compléter les paragraphes et les pages dans l’ordre.</w:t>
      </w:r>
    </w:p>
    <w:p w14:paraId="2EA68A02" w14:textId="77777777" w:rsidR="00DB0B48" w:rsidRPr="005B64DF" w:rsidRDefault="00DB0B48" w:rsidP="0068216F">
      <w:pPr>
        <w:rPr>
          <w:szCs w:val="22"/>
        </w:rPr>
      </w:pPr>
      <w:r w:rsidRPr="005B64DF">
        <w:rPr>
          <w:szCs w:val="22"/>
        </w:rPr>
        <w:t>Les demandeurs doivent soumettre leur demande en</w:t>
      </w:r>
      <w:r w:rsidR="00B12263" w:rsidRPr="005B64DF">
        <w:rPr>
          <w:szCs w:val="22"/>
        </w:rPr>
        <w:t xml:space="preserve"> français.</w:t>
      </w:r>
    </w:p>
    <w:p w14:paraId="46093A1B" w14:textId="77777777" w:rsidR="0059137A" w:rsidRPr="005B64DF" w:rsidRDefault="0059137A" w:rsidP="0068216F">
      <w:pPr>
        <w:rPr>
          <w:szCs w:val="22"/>
        </w:rPr>
      </w:pPr>
      <w:r w:rsidRPr="005B64DF">
        <w:rPr>
          <w:szCs w:val="22"/>
        </w:rPr>
        <w:t>Veuillez noter que:</w:t>
      </w:r>
    </w:p>
    <w:p w14:paraId="6B06ED4E" w14:textId="77777777" w:rsidR="00B723AF" w:rsidRPr="005B64DF" w:rsidRDefault="00B723AF" w:rsidP="00BA6979">
      <w:pPr>
        <w:ind w:left="360"/>
        <w:rPr>
          <w:szCs w:val="22"/>
        </w:rPr>
      </w:pPr>
      <w:r w:rsidRPr="005B64DF">
        <w:rPr>
          <w:szCs w:val="22"/>
        </w:rPr>
        <w:t>1. Dans la note succincte de présentation, les demandeurs chefs de file ne doivent fournir qu’une estimation de la contribution de l’UE sollicitée, ainsi qu’un pourcentage indicatif de cette contribution par rapport aux coûts éligibles de l’action. Un budget détaillé ne doit être présenté que par les demandeurs chefs de file invités à soumettre une demande complète dans la seconde phase. 2. Les éléments définis dans la note succincte de présentation ne peuvent pas être modifiés dans le formulaire de demande complète, à l’exception des modifications décrites ci-dessous:</w:t>
      </w:r>
    </w:p>
    <w:p w14:paraId="03CABED4" w14:textId="77777777" w:rsidR="00B723AF" w:rsidRPr="005B64DF" w:rsidRDefault="00B723AF" w:rsidP="00575041">
      <w:pPr>
        <w:numPr>
          <w:ilvl w:val="0"/>
          <w:numId w:val="40"/>
        </w:numPr>
        <w:ind w:left="1134" w:hanging="425"/>
        <w:rPr>
          <w:szCs w:val="22"/>
        </w:rPr>
      </w:pPr>
      <w:r w:rsidRPr="005B64DF">
        <w:rPr>
          <w:szCs w:val="22"/>
        </w:rPr>
        <w:t>La contribution de l’UE ne pourra pas varier de plus de 20 % par rapport à l’estimation initiale. Les demandeurs chefs de file sont libres d’adapter le pourcentage de cofinancement requis en respectant les montants et pourcentages minimaux et maximaux de cofinancement indiqués à la section 1.3 des présentes lignes directrices.</w:t>
      </w:r>
      <w:r w:rsidRPr="005B64DF">
        <w:rPr>
          <w:iCs/>
          <w:szCs w:val="22"/>
        </w:rPr>
        <w:t xml:space="preserve"> </w:t>
      </w:r>
    </w:p>
    <w:p w14:paraId="1407774D" w14:textId="77777777" w:rsidR="00B723AF" w:rsidRPr="005B64DF" w:rsidRDefault="00B723AF" w:rsidP="00575041">
      <w:pPr>
        <w:numPr>
          <w:ilvl w:val="0"/>
          <w:numId w:val="40"/>
        </w:numPr>
        <w:ind w:left="1134" w:hanging="425"/>
        <w:rPr>
          <w:szCs w:val="22"/>
        </w:rPr>
      </w:pPr>
      <w:r w:rsidRPr="005B64DF">
        <w:rPr>
          <w:iCs/>
          <w:szCs w:val="22"/>
        </w:rPr>
        <w:t xml:space="preserve">Le demandeur chef de file ne peut ajouter, supprimer ou remplacer un ou plusieurs codemandeurs ou entités affiliées que dans des cas dûment justifiés. </w:t>
      </w:r>
    </w:p>
    <w:p w14:paraId="7D7885DB" w14:textId="77777777" w:rsidR="00B723AF" w:rsidRPr="005B64DF" w:rsidRDefault="00B723AF" w:rsidP="00575041">
      <w:pPr>
        <w:numPr>
          <w:ilvl w:val="0"/>
          <w:numId w:val="40"/>
        </w:numPr>
        <w:ind w:left="1134" w:hanging="425"/>
        <w:rPr>
          <w:szCs w:val="22"/>
        </w:rPr>
      </w:pPr>
      <w:r w:rsidRPr="005B64DF">
        <w:rPr>
          <w:iCs/>
          <w:szCs w:val="22"/>
        </w:rPr>
        <w:t xml:space="preserve">Le demandeur chef de file peut adapter la durée de l’action si des circonstances imprévues hors du contrôle des demandeurs se sont produites après la soumission de la note succincte de présentation et exigent une telle adaptation (risque de non-exécution de l’action). Dans ce cas, la durée doit rester dans les limites prévues dans les lignes directrices à l’intention des demandeurs. </w:t>
      </w:r>
      <w:r w:rsidRPr="005B64DF">
        <w:rPr>
          <w:szCs w:val="22"/>
        </w:rPr>
        <w:t>Les contributions propres des demandeurs peuvent être remplacées à tout moment par des contributions d’autres donateurs.</w:t>
      </w:r>
    </w:p>
    <w:p w14:paraId="13B42E4E" w14:textId="77777777" w:rsidR="00B723AF" w:rsidRPr="005B64DF" w:rsidRDefault="00B723AF" w:rsidP="00B723AF">
      <w:pPr>
        <w:rPr>
          <w:b/>
          <w:szCs w:val="22"/>
        </w:rPr>
      </w:pPr>
      <w:r w:rsidRPr="005B64DF">
        <w:rPr>
          <w:b/>
          <w:iCs/>
          <w:szCs w:val="22"/>
        </w:rPr>
        <w:t>Une explication/justification des remplacements/ajustements concernés sera fournie au point viii de la section 2.1.1 de l’annexe A.2 – Instructions pour rédiger la demande complète. Si le comité d’évaluation n’accepte pas l’explication/la justification fournie, la proposition pourra être rejetée pour ce seul motif.</w:t>
      </w:r>
    </w:p>
    <w:p w14:paraId="026110AD" w14:textId="77777777" w:rsidR="0059137A" w:rsidRPr="005B64DF" w:rsidRDefault="002B68A5" w:rsidP="00BA6979">
      <w:pPr>
        <w:rPr>
          <w:szCs w:val="22"/>
        </w:rPr>
      </w:pPr>
      <w:r w:rsidRPr="005B64DF">
        <w:rPr>
          <w:szCs w:val="22"/>
        </w:rPr>
        <w:lastRenderedPageBreak/>
        <w:t>Seule la note succincte de présentation sera évaluée. Il est par conséquent très important que ce document contienne TOUTES les informations pertinentes concernant l’action. Aucune annexe supplémentaire ne doit être envoyée.</w:t>
      </w:r>
    </w:p>
    <w:p w14:paraId="60C96203" w14:textId="77777777" w:rsidR="00D122E9" w:rsidRPr="005B64DF" w:rsidRDefault="00D122E9" w:rsidP="00D122E9">
      <w:pPr>
        <w:rPr>
          <w:szCs w:val="22"/>
        </w:rPr>
      </w:pPr>
      <w:r w:rsidRPr="005B64DF">
        <w:rPr>
          <w:szCs w:val="22"/>
        </w:rPr>
        <w:t xml:space="preserve">Veuillez remplir la note succincte de présentation aussi soigneusement et clairement que possible afin de faciliter son évaluation. </w:t>
      </w:r>
    </w:p>
    <w:p w14:paraId="28C1EA88" w14:textId="77777777" w:rsidR="00DB0B48" w:rsidRPr="005B64DF" w:rsidRDefault="00DB0B48" w:rsidP="0068216F">
      <w:pPr>
        <w:rPr>
          <w:szCs w:val="22"/>
        </w:rPr>
      </w:pPr>
      <w:r w:rsidRPr="005B64DF">
        <w:rPr>
          <w:szCs w:val="22"/>
        </w:rPr>
        <w:t xml:space="preserve">Toute erreur ou incohérence majeure relative aux instructions concernant la note succincte de présentation peut aboutir au rejet de cette dernière. </w:t>
      </w:r>
    </w:p>
    <w:p w14:paraId="324F1AEE" w14:textId="77777777" w:rsidR="00DB0B48" w:rsidRPr="005B64DF" w:rsidRDefault="00DB0B48" w:rsidP="0068216F">
      <w:pPr>
        <w:rPr>
          <w:szCs w:val="22"/>
        </w:rPr>
      </w:pPr>
      <w:r w:rsidRPr="005B64DF">
        <w:rPr>
          <w:szCs w:val="22"/>
        </w:rPr>
        <w:t xml:space="preserve">L’administration contractante se réserve le droit de demander des éclaircissements lorsque les informations fournies ne lui permettent pas de réaliser une évaluation objective. </w:t>
      </w:r>
    </w:p>
    <w:p w14:paraId="1FC8E6CB" w14:textId="77777777" w:rsidR="008B4806" w:rsidRPr="005B64DF" w:rsidRDefault="008B4806" w:rsidP="00BF7926">
      <w:pPr>
        <w:pStyle w:val="Guidelines3"/>
        <w:rPr>
          <w:sz w:val="22"/>
          <w:szCs w:val="22"/>
        </w:rPr>
      </w:pPr>
      <w:bookmarkStart w:id="44" w:name="_Toc125454353"/>
      <w:bookmarkStart w:id="45" w:name="_Toc74830957"/>
      <w:bookmarkStart w:id="46" w:name="_Toc179890136"/>
      <w:bookmarkStart w:id="47" w:name="_Toc182404636"/>
      <w:r w:rsidRPr="005B64DF">
        <w:rPr>
          <w:sz w:val="22"/>
          <w:szCs w:val="22"/>
        </w:rPr>
        <w:t>Où et comment envoyer la note succincte de présentation?</w:t>
      </w:r>
      <w:bookmarkEnd w:id="44"/>
      <w:bookmarkEnd w:id="45"/>
      <w:bookmarkEnd w:id="46"/>
      <w:bookmarkEnd w:id="47"/>
    </w:p>
    <w:p w14:paraId="794AB469" w14:textId="77777777" w:rsidR="00BF389A" w:rsidRPr="005B64DF" w:rsidRDefault="00BF389A" w:rsidP="00BF389A">
      <w:pPr>
        <w:spacing w:before="240"/>
        <w:rPr>
          <w:szCs w:val="22"/>
        </w:rPr>
      </w:pPr>
      <w:r w:rsidRPr="005B64DF">
        <w:rPr>
          <w:szCs w:val="22"/>
        </w:rPr>
        <w:t xml:space="preserve">La note succincte de présentation et la déclaration du demandeur chef de file (annexe A.1, section 2) </w:t>
      </w:r>
      <w:r w:rsidRPr="005B64DF">
        <w:rPr>
          <w:b/>
          <w:szCs w:val="22"/>
        </w:rPr>
        <w:t>doivent</w:t>
      </w:r>
      <w:r w:rsidRPr="005B64DF">
        <w:rPr>
          <w:szCs w:val="22"/>
        </w:rPr>
        <w:t xml:space="preserve"> </w:t>
      </w:r>
      <w:r w:rsidRPr="005B64DF">
        <w:rPr>
          <w:b/>
          <w:szCs w:val="22"/>
        </w:rPr>
        <w:t>être envoyées en ligne</w:t>
      </w:r>
      <w:r w:rsidRPr="005B64DF">
        <w:rPr>
          <w:szCs w:val="22"/>
        </w:rPr>
        <w:t xml:space="preserve"> </w:t>
      </w:r>
      <w:r w:rsidRPr="005B64DF">
        <w:rPr>
          <w:b/>
          <w:szCs w:val="22"/>
        </w:rPr>
        <w:t>au moyen de PROSPECT</w:t>
      </w:r>
      <w:r w:rsidRPr="005B64DF">
        <w:rPr>
          <w:szCs w:val="22"/>
        </w:rPr>
        <w:t xml:space="preserve"> </w:t>
      </w:r>
      <w:hyperlink r:id="rId26" w:history="1">
        <w:r w:rsidR="006328A5" w:rsidRPr="005B64DF">
          <w:rPr>
            <w:rStyle w:val="Hyperlink"/>
            <w:color w:val="auto"/>
            <w:szCs w:val="22"/>
          </w:rPr>
          <w:t>https://webgate.ec.europa.eu/prospect</w:t>
        </w:r>
      </w:hyperlink>
      <w:r w:rsidRPr="005B64DF">
        <w:rPr>
          <w:szCs w:val="22"/>
        </w:rPr>
        <w:t>en suivant les instructions fournies dans le manuel d’utilisation de PROSPECT.</w:t>
      </w:r>
    </w:p>
    <w:p w14:paraId="41F828F7" w14:textId="77777777" w:rsidR="00BF389A" w:rsidRPr="005B64DF" w:rsidRDefault="00BF389A" w:rsidP="00BA6979">
      <w:pPr>
        <w:pStyle w:val="Default"/>
        <w:jc w:val="both"/>
        <w:rPr>
          <w:color w:val="auto"/>
          <w:sz w:val="22"/>
          <w:szCs w:val="22"/>
        </w:rPr>
      </w:pPr>
      <w:r w:rsidRPr="005B64DF">
        <w:rPr>
          <w:color w:val="auto"/>
          <w:sz w:val="22"/>
          <w:szCs w:val="22"/>
        </w:rPr>
        <w:t xml:space="preserve">Après l’envoi de la note succincte de présentation, le demandeur chef de file recevra un accusé de réception automatique dans son profil PROSPECT. </w:t>
      </w:r>
    </w:p>
    <w:p w14:paraId="68485947" w14:textId="77777777" w:rsidR="00BB62BE" w:rsidRPr="005B64DF" w:rsidRDefault="00BB62BE" w:rsidP="00BA6979">
      <w:pPr>
        <w:pStyle w:val="Default"/>
        <w:jc w:val="both"/>
        <w:rPr>
          <w:color w:val="auto"/>
          <w:sz w:val="22"/>
          <w:szCs w:val="22"/>
        </w:rPr>
      </w:pPr>
    </w:p>
    <w:p w14:paraId="3A95F8EC" w14:textId="77777777" w:rsidR="00BF389A" w:rsidRPr="005B64DF" w:rsidRDefault="00BF389A" w:rsidP="00BF389A">
      <w:pPr>
        <w:rPr>
          <w:szCs w:val="22"/>
        </w:rPr>
      </w:pPr>
      <w:r w:rsidRPr="005B64DF">
        <w:rPr>
          <w:szCs w:val="22"/>
        </w:rPr>
        <w:t>Les notes succinctes de présentation envoyées par tout autre moyen (par exemple par télécopie ou courrier électronique) ou remises à d’autres adresses seront rejetées. Les notes succinctes de présentation manusc</w:t>
      </w:r>
      <w:r w:rsidR="009456E4" w:rsidRPr="005B64DF">
        <w:rPr>
          <w:szCs w:val="22"/>
        </w:rPr>
        <w:t>rites ne seront pas acceptées.</w:t>
      </w:r>
    </w:p>
    <w:p w14:paraId="267B4071" w14:textId="77777777" w:rsidR="00BF389A" w:rsidRPr="005B64DF" w:rsidRDefault="00BF389A" w:rsidP="00BF389A">
      <w:pPr>
        <w:rPr>
          <w:szCs w:val="22"/>
        </w:rPr>
      </w:pPr>
      <w:r w:rsidRPr="005B64DF">
        <w:rPr>
          <w:b/>
          <w:szCs w:val="22"/>
          <w:u w:val="single"/>
        </w:rPr>
        <w:t>Veuillez noter que les notes succinctes de présentation incomplètes peuvent être rejetées</w:t>
      </w:r>
      <w:r w:rsidRPr="005B64DF">
        <w:rPr>
          <w:b/>
          <w:szCs w:val="22"/>
        </w:rPr>
        <w:t>.</w:t>
      </w:r>
      <w:r w:rsidRPr="005B64DF">
        <w:rPr>
          <w:szCs w:val="22"/>
        </w:rPr>
        <w:t xml:space="preserve"> Les demandeurs chefs de file doivent s’assurer que leur note succincte de présentation est complète en utilisant la liste de contrôle (annexe A.1, Instructions).</w:t>
      </w:r>
    </w:p>
    <w:p w14:paraId="6163E632" w14:textId="77777777" w:rsidR="008B4806" w:rsidRPr="005B64DF" w:rsidRDefault="008B4806" w:rsidP="00BF7926">
      <w:pPr>
        <w:pStyle w:val="Guidelines3"/>
        <w:rPr>
          <w:sz w:val="22"/>
          <w:szCs w:val="22"/>
        </w:rPr>
      </w:pPr>
      <w:bookmarkStart w:id="48" w:name="_Toc125454354"/>
      <w:bookmarkStart w:id="49" w:name="_Toc74830958"/>
      <w:bookmarkStart w:id="50" w:name="_Toc179890137"/>
      <w:bookmarkStart w:id="51" w:name="_Toc182404637"/>
      <w:r w:rsidRPr="005B64DF">
        <w:rPr>
          <w:sz w:val="22"/>
          <w:szCs w:val="22"/>
        </w:rPr>
        <w:t>Date limite de soumission des notes succinctes de présentation</w:t>
      </w:r>
      <w:bookmarkEnd w:id="48"/>
      <w:bookmarkEnd w:id="49"/>
      <w:bookmarkEnd w:id="50"/>
      <w:bookmarkEnd w:id="51"/>
      <w:r w:rsidRPr="005B64DF">
        <w:rPr>
          <w:sz w:val="22"/>
          <w:szCs w:val="22"/>
        </w:rPr>
        <w:t xml:space="preserve"> </w:t>
      </w:r>
    </w:p>
    <w:p w14:paraId="50830061" w14:textId="7F7FFC41" w:rsidR="00E72707" w:rsidRPr="005B64DF" w:rsidRDefault="00E72707" w:rsidP="00E72707">
      <w:pPr>
        <w:spacing w:before="240"/>
        <w:rPr>
          <w:szCs w:val="22"/>
        </w:rPr>
      </w:pPr>
      <w:r w:rsidRPr="005B64DF">
        <w:rPr>
          <w:szCs w:val="22"/>
        </w:rPr>
        <w:t xml:space="preserve">La date limite de soumission des notes succinctes de présentation est fixée au </w:t>
      </w:r>
      <w:r w:rsidR="009C0A1F" w:rsidRPr="00A848FC">
        <w:rPr>
          <w:b/>
          <w:szCs w:val="22"/>
        </w:rPr>
        <w:t xml:space="preserve">04 février </w:t>
      </w:r>
      <w:r w:rsidR="009456E4" w:rsidRPr="00A848FC">
        <w:rPr>
          <w:b/>
          <w:szCs w:val="22"/>
        </w:rPr>
        <w:t>2025 à 18</w:t>
      </w:r>
      <w:r w:rsidR="009456E4" w:rsidRPr="005B64DF">
        <w:rPr>
          <w:szCs w:val="22"/>
        </w:rPr>
        <w:t xml:space="preserve"> </w:t>
      </w:r>
      <w:r w:rsidR="009456E4" w:rsidRPr="00A848FC">
        <w:rPr>
          <w:b/>
          <w:szCs w:val="22"/>
        </w:rPr>
        <w:t>heures</w:t>
      </w:r>
      <w:r w:rsidRPr="005B64DF">
        <w:rPr>
          <w:szCs w:val="22"/>
        </w:rPr>
        <w:t xml:space="preserve"> </w:t>
      </w:r>
      <w:r w:rsidR="00A848FC">
        <w:rPr>
          <w:szCs w:val="22"/>
        </w:rPr>
        <w:t>(</w:t>
      </w:r>
      <w:r w:rsidR="007179DD" w:rsidRPr="005B64DF">
        <w:rPr>
          <w:szCs w:val="22"/>
        </w:rPr>
        <w:t xml:space="preserve">heure de Bruxelles). </w:t>
      </w:r>
      <w:r w:rsidRPr="005B64DF">
        <w:rPr>
          <w:szCs w:val="22"/>
        </w:rPr>
        <w:t>Pour convertir cette échéance en heure locale, vous pouvez utiliser tout outil de conversion horaire qui tient compte des fuseaux horaires et du changement d’heure en hiver/été (exemple disponible</w:t>
      </w:r>
      <w:r w:rsidRPr="005B64DF">
        <w:rPr>
          <w:b/>
          <w:szCs w:val="22"/>
        </w:rPr>
        <w:t xml:space="preserve"> </w:t>
      </w:r>
      <w:hyperlink r:id="rId27" w:history="1">
        <w:r w:rsidRPr="005B64DF">
          <w:rPr>
            <w:rStyle w:val="Hyperlink"/>
            <w:b/>
            <w:color w:val="auto"/>
            <w:szCs w:val="22"/>
          </w:rPr>
          <w:t>ici</w:t>
        </w:r>
      </w:hyperlink>
      <w:r w:rsidRPr="005B64DF">
        <w:rPr>
          <w:szCs w:val="22"/>
        </w:rPr>
        <w:t xml:space="preserve">). Il est vivement conseillé au </w:t>
      </w:r>
      <w:r w:rsidRPr="005B64DF">
        <w:rPr>
          <w:b/>
          <w:szCs w:val="22"/>
        </w:rPr>
        <w:t>demandeur chef de file de ne pas attendre le dernier jour pour soumettre</w:t>
      </w:r>
      <w:r w:rsidRPr="005B64DF">
        <w:rPr>
          <w:szCs w:val="22"/>
        </w:rPr>
        <w:t xml:space="preserve"> sa note succincte de présentation, car un encombrement ou une quelconque défaillance de la connexion internet (y compris une panne de courant, etc.) pourrait entraîner des difficultés dans l’envoi des documents. L’administration contractante ne peut être tenue pour responsable de tout retard en raison des difficultés susmentionnées. </w:t>
      </w:r>
    </w:p>
    <w:p w14:paraId="4CB25883" w14:textId="77777777" w:rsidR="00B41A93" w:rsidRPr="005B64DF" w:rsidRDefault="00E72707" w:rsidP="003F667F">
      <w:pPr>
        <w:spacing w:before="240"/>
        <w:rPr>
          <w:szCs w:val="22"/>
        </w:rPr>
      </w:pPr>
      <w:r w:rsidRPr="005B64DF">
        <w:rPr>
          <w:szCs w:val="22"/>
        </w:rPr>
        <w:t>Toute note succincte de présentation soumise après la date limite sera rejetée.</w:t>
      </w:r>
    </w:p>
    <w:p w14:paraId="70FA7A2B" w14:textId="77777777" w:rsidR="008B4806" w:rsidRPr="005B64DF" w:rsidRDefault="008B4806" w:rsidP="00BF7926">
      <w:pPr>
        <w:pStyle w:val="Guidelines3"/>
        <w:rPr>
          <w:sz w:val="22"/>
          <w:szCs w:val="22"/>
        </w:rPr>
      </w:pPr>
      <w:bookmarkStart w:id="52" w:name="_Toc125454355"/>
      <w:bookmarkStart w:id="53" w:name="_Toc74830959"/>
      <w:bookmarkStart w:id="54" w:name="_Toc179890138"/>
      <w:bookmarkStart w:id="55" w:name="_Toc182404638"/>
      <w:r w:rsidRPr="005B64DF">
        <w:rPr>
          <w:sz w:val="22"/>
          <w:szCs w:val="22"/>
        </w:rPr>
        <w:t>Autres informations</w:t>
      </w:r>
      <w:bookmarkEnd w:id="52"/>
      <w:r w:rsidRPr="005B64DF">
        <w:rPr>
          <w:sz w:val="22"/>
          <w:szCs w:val="22"/>
        </w:rPr>
        <w:t xml:space="preserve"> concernant les notes succinctes de présentation</w:t>
      </w:r>
      <w:bookmarkEnd w:id="53"/>
      <w:bookmarkEnd w:id="54"/>
      <w:bookmarkEnd w:id="55"/>
    </w:p>
    <w:p w14:paraId="542DC8FE" w14:textId="77777777" w:rsidR="00EB06DB" w:rsidRPr="005B64DF" w:rsidRDefault="00EB06DB" w:rsidP="0068216F">
      <w:pPr>
        <w:rPr>
          <w:szCs w:val="22"/>
        </w:rPr>
      </w:pPr>
    </w:p>
    <w:p w14:paraId="2A2D65A2" w14:textId="5B4DD4C7" w:rsidR="009C0A1F" w:rsidRDefault="009C0A1F" w:rsidP="0068216F">
      <w:r>
        <w:t xml:space="preserve">Une séance d’information relative au présent appel à propositions sera organisée </w:t>
      </w:r>
      <w:r w:rsidR="00A848FC">
        <w:rPr>
          <w:b/>
        </w:rPr>
        <w:t>le 10 janvier 2025, à</w:t>
      </w:r>
      <w:r w:rsidRPr="00A848FC">
        <w:rPr>
          <w:b/>
        </w:rPr>
        <w:t xml:space="preserve"> de 10 à 12 heures</w:t>
      </w:r>
      <w:r w:rsidR="00492560" w:rsidRPr="00A848FC">
        <w:rPr>
          <w:b/>
        </w:rPr>
        <w:t xml:space="preserve"> en ligne</w:t>
      </w:r>
      <w:r w:rsidRPr="00A848FC">
        <w:rPr>
          <w:b/>
        </w:rPr>
        <w:t>.</w:t>
      </w:r>
      <w:r>
        <w:t xml:space="preserve"> Un lien de connexion sera envoyé </w:t>
      </w:r>
      <w:r w:rsidR="00492560">
        <w:t>aux</w:t>
      </w:r>
      <w:r w:rsidR="0037612E">
        <w:t xml:space="preserve"> organisations </w:t>
      </w:r>
      <w:r w:rsidR="00492560">
        <w:t>inscrit</w:t>
      </w:r>
      <w:r w:rsidR="0037612E">
        <w:t>e</w:t>
      </w:r>
      <w:r w:rsidR="00492560">
        <w:t xml:space="preserve">s via l’envoi d’un message  </w:t>
      </w:r>
      <w:r w:rsidR="0037612E">
        <w:t xml:space="preserve">de manifestation d’intérêt, </w:t>
      </w:r>
      <w:r w:rsidR="00492560">
        <w:t xml:space="preserve">au plus tard le </w:t>
      </w:r>
      <w:r w:rsidR="00492560" w:rsidRPr="00A848FC">
        <w:rPr>
          <w:b/>
        </w:rPr>
        <w:t xml:space="preserve">03 janvier à 17 heures </w:t>
      </w:r>
      <w:r w:rsidR="00492560">
        <w:t xml:space="preserve">à l’adresse :  </w:t>
      </w:r>
      <w:hyperlink r:id="rId28" w:history="1">
        <w:r w:rsidR="00492560" w:rsidRPr="005B64DF">
          <w:rPr>
            <w:rStyle w:val="Hyperlink"/>
            <w:color w:val="auto"/>
            <w:szCs w:val="22"/>
          </w:rPr>
          <w:t>delegation-senegal-tenders@eeas.europa.eu</w:t>
        </w:r>
      </w:hyperlink>
      <w:r w:rsidR="00492560">
        <w:rPr>
          <w:rStyle w:val="Hyperlink"/>
          <w:color w:val="auto"/>
          <w:szCs w:val="22"/>
        </w:rPr>
        <w:t>.</w:t>
      </w:r>
    </w:p>
    <w:p w14:paraId="7B849E66" w14:textId="68EEBF4A" w:rsidR="008B4806" w:rsidRPr="005B64DF" w:rsidRDefault="009C0A1F" w:rsidP="0068216F">
      <w:pPr>
        <w:rPr>
          <w:szCs w:val="22"/>
        </w:rPr>
      </w:pPr>
      <w:r>
        <w:t xml:space="preserve"> </w:t>
      </w:r>
      <w:r w:rsidR="008B4806" w:rsidRPr="005B64DF">
        <w:rPr>
          <w:szCs w:val="22"/>
        </w:rPr>
        <w:t>Les demandeurs peuvent envoyer leurs questions par courrier électronique au plus tard 21 jours avant la date limite de soumission des notes succinctes de présentation, à l’adresse ou aux adresses figurant ci-après, en indiquant clairement la référence de l’appel à propositions:</w:t>
      </w:r>
    </w:p>
    <w:p w14:paraId="29BD9F00" w14:textId="77777777" w:rsidR="0092725B" w:rsidRPr="005B64DF" w:rsidRDefault="008B4806" w:rsidP="0092725B">
      <w:pPr>
        <w:ind w:left="567"/>
        <w:rPr>
          <w:szCs w:val="22"/>
        </w:rPr>
      </w:pPr>
      <w:r w:rsidRPr="005B64DF">
        <w:rPr>
          <w:szCs w:val="22"/>
        </w:rPr>
        <w:lastRenderedPageBreak/>
        <w:t xml:space="preserve">Adresse électronique: </w:t>
      </w:r>
      <w:hyperlink r:id="rId29" w:history="1">
        <w:r w:rsidR="0092725B" w:rsidRPr="005B64DF">
          <w:rPr>
            <w:rStyle w:val="Hyperlink"/>
            <w:color w:val="auto"/>
            <w:szCs w:val="22"/>
          </w:rPr>
          <w:t>delegation-senegal-tenders@eeas.europa.eu</w:t>
        </w:r>
      </w:hyperlink>
    </w:p>
    <w:p w14:paraId="6A8984DC" w14:textId="77777777" w:rsidR="002128D0" w:rsidRPr="005B64DF" w:rsidRDefault="002128D0" w:rsidP="0068216F">
      <w:pPr>
        <w:rPr>
          <w:szCs w:val="22"/>
        </w:rPr>
      </w:pPr>
      <w:r w:rsidRPr="005B64DF">
        <w:rPr>
          <w:szCs w:val="22"/>
        </w:rPr>
        <w:t>L’administration contractante n’a aucune obligation de fournir des éclaircissements sur des questions reçues après cette date.</w:t>
      </w:r>
    </w:p>
    <w:p w14:paraId="38BADF2A" w14:textId="77777777" w:rsidR="008B4806" w:rsidRPr="005B64DF" w:rsidRDefault="008B4806" w:rsidP="0068216F">
      <w:pPr>
        <w:rPr>
          <w:szCs w:val="22"/>
        </w:rPr>
      </w:pPr>
      <w:r w:rsidRPr="005B64DF">
        <w:rPr>
          <w:szCs w:val="22"/>
        </w:rPr>
        <w:t xml:space="preserve">Il y sera répondu au plus tard 11 jours avant la date limite de soumission des notes succinctes de présentation. </w:t>
      </w:r>
    </w:p>
    <w:p w14:paraId="74100FAB" w14:textId="77777777" w:rsidR="008B4806" w:rsidRPr="005B64DF" w:rsidRDefault="00023576" w:rsidP="0068216F">
      <w:pPr>
        <w:rPr>
          <w:szCs w:val="22"/>
        </w:rPr>
      </w:pPr>
      <w:r w:rsidRPr="005B64DF">
        <w:rPr>
          <w:szCs w:val="22"/>
        </w:rPr>
        <w:t>Afin de garantir l’égalité de traitement des demandeurs, l’administration contractante ne peut pas donner d’avis préalable sur l’éligibilité des demandeurs chefs de file, des codemandeurs, d’une/d’entité(s) affiliée(s), d’une action ou d’activités spécifiques.</w:t>
      </w:r>
    </w:p>
    <w:p w14:paraId="273602EA" w14:textId="77777777" w:rsidR="002128D0" w:rsidRPr="005B64DF" w:rsidRDefault="00C52EA8" w:rsidP="0068216F">
      <w:pPr>
        <w:rPr>
          <w:szCs w:val="22"/>
        </w:rPr>
      </w:pPr>
      <w:r w:rsidRPr="005B64DF">
        <w:rPr>
          <w:szCs w:val="22"/>
        </w:rPr>
        <w:t xml:space="preserve">Aucune réponse individuelle ne sera donnée aux questions posées. Toutes les questions et leurs réponses ainsi que d’autres informations importantes communiquées aux demandeurs au cours de la procédure d’évaluation seront publiées en temps utile sur le site internet </w:t>
      </w:r>
      <w:r w:rsidR="00CD0490" w:rsidRPr="005B64DF">
        <w:rPr>
          <w:szCs w:val="22"/>
        </w:rPr>
        <w:t xml:space="preserve">où l’appel a été publié : site web </w:t>
      </w:r>
      <w:r w:rsidRPr="005B64DF">
        <w:rPr>
          <w:szCs w:val="22"/>
        </w:rPr>
        <w:t xml:space="preserve">de la Direction générale des partenariats internationaux, à l’adresse suivante: </w:t>
      </w:r>
      <w:hyperlink r:id="rId30" w:history="1">
        <w:r w:rsidRPr="005B64DF">
          <w:rPr>
            <w:rStyle w:val="Hyperlink"/>
            <w:color w:val="auto"/>
            <w:szCs w:val="22"/>
          </w:rPr>
          <w:t>https://ec.europa.eu/international-partnerships/home_fr</w:t>
        </w:r>
      </w:hyperlink>
      <w:r w:rsidRPr="005B64DF">
        <w:rPr>
          <w:szCs w:val="22"/>
        </w:rPr>
        <w:t xml:space="preserve"> </w:t>
      </w:r>
      <w:r w:rsidR="00CD0490" w:rsidRPr="005B64DF">
        <w:rPr>
          <w:szCs w:val="22"/>
        </w:rPr>
        <w:t xml:space="preserve">ou dans Funding &amp; Tender opportunities (portail F&amp;T) </w:t>
      </w:r>
      <w:hyperlink r:id="rId31" w:history="1">
        <w:r w:rsidR="00CD0490" w:rsidRPr="005B64DF">
          <w:rPr>
            <w:rStyle w:val="Hyperlink"/>
            <w:color w:val="auto"/>
            <w:szCs w:val="22"/>
          </w:rPr>
          <w:t>https://ec.europa.eu/info/funding-tenders/opportunities/portal/screen/home</w:t>
        </w:r>
      </w:hyperlink>
      <w:r w:rsidRPr="005B64DF">
        <w:rPr>
          <w:szCs w:val="22"/>
        </w:rPr>
        <w:t>. Il est par conséquent recommandé de consulter régulièrement le site internet dont l’adresse figure ci-dessus afin d’être informé des questions et réponses publiées.</w:t>
      </w:r>
    </w:p>
    <w:p w14:paraId="5E1AA525" w14:textId="77777777" w:rsidR="001A27A5" w:rsidRPr="005B64DF" w:rsidRDefault="001A27A5" w:rsidP="0068216F">
      <w:pPr>
        <w:rPr>
          <w:szCs w:val="22"/>
        </w:rPr>
      </w:pPr>
      <w:r w:rsidRPr="005B64DF">
        <w:rPr>
          <w:szCs w:val="22"/>
        </w:rPr>
        <w:t xml:space="preserve">Toutes les questions relatives à l’enregistrement dans PADOR ou à la soumission en ligne via PROSPECT doivent être adressées au helpdesk informatique à l’adresse </w:t>
      </w:r>
      <w:hyperlink r:id="rId32" w:history="1">
        <w:r w:rsidRPr="005B64DF">
          <w:rPr>
            <w:rStyle w:val="Hyperlink"/>
            <w:color w:val="auto"/>
            <w:szCs w:val="22"/>
          </w:rPr>
          <w:t>INTPA-SUPPORT-SERVICES@ec.europa.eu</w:t>
        </w:r>
      </w:hyperlink>
      <w:r w:rsidRPr="005B64DF">
        <w:rPr>
          <w:szCs w:val="22"/>
        </w:rPr>
        <w:t xml:space="preserve"> </w:t>
      </w:r>
      <w:r w:rsidRPr="005B64DF">
        <w:rPr>
          <w:b/>
          <w:szCs w:val="22"/>
        </w:rPr>
        <w:t>au moyen du formulaire d’assistance en ligne PROSPECT.</w:t>
      </w:r>
      <w:r w:rsidRPr="005B64DF">
        <w:rPr>
          <w:szCs w:val="22"/>
        </w:rPr>
        <w:t xml:space="preserve"> Veuillez noter que les langues de travail du soutien informatique sont: l’anglais, le français et l’espagnol. Par conséquent, les utilisateurs sont invités à envoyer leurs questions en anglais, français ou espagnol s’ils souhaitent bénéficier d’un délai de réponse optimal.</w:t>
      </w:r>
    </w:p>
    <w:p w14:paraId="3F3E69FD" w14:textId="77777777" w:rsidR="00E80008" w:rsidRPr="005B64DF" w:rsidRDefault="00E80008" w:rsidP="0068216F">
      <w:pPr>
        <w:rPr>
          <w:szCs w:val="22"/>
        </w:rPr>
      </w:pPr>
      <w:r w:rsidRPr="005B64DF">
        <w:rPr>
          <w:snapToGrid w:val="0"/>
          <w:szCs w:val="22"/>
        </w:rPr>
        <w:t>Veuillez noter que l’administration contractante peut décider d’annuler la procédure d’appel à propositions à n’importe quel stade, conformément aux conditions énoncées à la section 6.5.9 du PRAG.</w:t>
      </w:r>
    </w:p>
    <w:p w14:paraId="5874D7D0" w14:textId="77777777" w:rsidR="008B4806" w:rsidRPr="005B64DF" w:rsidRDefault="00E64637" w:rsidP="00BF7926">
      <w:pPr>
        <w:pStyle w:val="Guidelines3"/>
        <w:rPr>
          <w:sz w:val="22"/>
          <w:szCs w:val="22"/>
        </w:rPr>
      </w:pPr>
      <w:bookmarkStart w:id="56" w:name="_Toc179890139"/>
      <w:bookmarkStart w:id="57" w:name="_Toc182404639"/>
      <w:bookmarkStart w:id="58" w:name="_Toc125454356"/>
      <w:r w:rsidRPr="005B64DF">
        <w:rPr>
          <w:sz w:val="22"/>
          <w:szCs w:val="22"/>
        </w:rPr>
        <w:t>Demandes complètes</w:t>
      </w:r>
      <w:bookmarkEnd w:id="56"/>
      <w:bookmarkEnd w:id="57"/>
      <w:r w:rsidRPr="005B64DF">
        <w:rPr>
          <w:sz w:val="22"/>
          <w:szCs w:val="22"/>
        </w:rPr>
        <w:t xml:space="preserve"> </w:t>
      </w:r>
      <w:bookmarkEnd w:id="58"/>
    </w:p>
    <w:p w14:paraId="15883CA7" w14:textId="77777777" w:rsidR="008B4806" w:rsidRPr="005B64DF" w:rsidRDefault="00B114D9" w:rsidP="00203ABF">
      <w:pPr>
        <w:spacing w:before="240"/>
        <w:rPr>
          <w:szCs w:val="22"/>
        </w:rPr>
      </w:pPr>
      <w:r w:rsidRPr="005B64DF">
        <w:rPr>
          <w:szCs w:val="22"/>
        </w:rPr>
        <w:t>Les demandeurs chefs de file invités à soumettre une demande complète à la suite de la présélection de leur note succincte de présentation doivent le faire à l’aide du formulaire de demande de subvention joint aux présentes lignes directrices (annexe A.2 – formulaire de demande de subvention – demande complète). Ils doivent alors respecter scrupuleusement le format du formulaire de demande de subvention et compléter les paragraphes et les pages dans l’ordre.</w:t>
      </w:r>
    </w:p>
    <w:p w14:paraId="268B9056" w14:textId="77777777" w:rsidR="00B723AF" w:rsidRPr="005B64DF" w:rsidRDefault="00B723AF" w:rsidP="00B723AF">
      <w:pPr>
        <w:rPr>
          <w:szCs w:val="22"/>
        </w:rPr>
      </w:pPr>
      <w:r w:rsidRPr="005B64DF">
        <w:rPr>
          <w:szCs w:val="22"/>
        </w:rPr>
        <w:t xml:space="preserve">Les éléments définis dans la note succincte de présentation ne peuvent pas être modifiés dans le formulaire de demande complète, à l’exception des modifications décrites ci-dessous: </w:t>
      </w:r>
    </w:p>
    <w:p w14:paraId="532CF986" w14:textId="77777777" w:rsidR="00B723AF" w:rsidRPr="005B64DF" w:rsidRDefault="00B723AF" w:rsidP="0037612E">
      <w:pPr>
        <w:numPr>
          <w:ilvl w:val="0"/>
          <w:numId w:val="40"/>
        </w:numPr>
        <w:rPr>
          <w:szCs w:val="22"/>
        </w:rPr>
      </w:pPr>
      <w:r w:rsidRPr="005B64DF">
        <w:rPr>
          <w:szCs w:val="22"/>
        </w:rPr>
        <w:t>La contribution de l’UE ne pourra pas varier de plus de 20 % par rapport à l’estimation initiale. Les demandeurs chefs de file sont libres d’adapter le pourcentage de cofinancement requis en respectant les montants et pourcentages minimaux et maximaux de cofinancement indiqués à la section 1.3 des présentes lignes directrices.</w:t>
      </w:r>
      <w:r w:rsidRPr="005B64DF">
        <w:rPr>
          <w:iCs/>
          <w:szCs w:val="22"/>
        </w:rPr>
        <w:t xml:space="preserve"> </w:t>
      </w:r>
    </w:p>
    <w:p w14:paraId="7F6D720D" w14:textId="77777777" w:rsidR="00B723AF" w:rsidRPr="005B64DF" w:rsidRDefault="00B723AF" w:rsidP="0037612E">
      <w:pPr>
        <w:numPr>
          <w:ilvl w:val="0"/>
          <w:numId w:val="40"/>
        </w:numPr>
        <w:rPr>
          <w:szCs w:val="22"/>
        </w:rPr>
      </w:pPr>
      <w:r w:rsidRPr="005B64DF">
        <w:rPr>
          <w:iCs/>
          <w:szCs w:val="22"/>
        </w:rPr>
        <w:t xml:space="preserve">Le demandeur chef de file ne peut ajouter, supprimer ou remplacer un ou plusieurs codemandeurs ou entités affiliées que dans des cas dûment justifiés. </w:t>
      </w:r>
    </w:p>
    <w:p w14:paraId="24BD5DE7" w14:textId="77777777" w:rsidR="00B723AF" w:rsidRPr="005B64DF" w:rsidRDefault="00B723AF" w:rsidP="00575041">
      <w:pPr>
        <w:numPr>
          <w:ilvl w:val="0"/>
          <w:numId w:val="40"/>
        </w:numPr>
        <w:rPr>
          <w:szCs w:val="22"/>
        </w:rPr>
      </w:pPr>
      <w:r w:rsidRPr="005B64DF">
        <w:rPr>
          <w:iCs/>
          <w:szCs w:val="22"/>
        </w:rPr>
        <w:t xml:space="preserve">Le demandeur chef de file peut adapter la durée de l’action si des circonstances imprévues hors du contrôle des demandeurs se sont produites après la soumission de la note de présentation et exigent une telle adaptation (risque de non-exécution de l’action). Dans ce cas, la durée doit rester dans les limites prévues dans les lignes directrices à l’intention des demandeurs. </w:t>
      </w:r>
    </w:p>
    <w:p w14:paraId="0FC82017" w14:textId="77777777" w:rsidR="00B723AF" w:rsidRPr="005B64DF" w:rsidRDefault="00B723AF" w:rsidP="00B723AF">
      <w:pPr>
        <w:rPr>
          <w:b/>
          <w:szCs w:val="22"/>
        </w:rPr>
      </w:pPr>
      <w:r w:rsidRPr="005B64DF">
        <w:rPr>
          <w:b/>
          <w:iCs/>
          <w:szCs w:val="22"/>
        </w:rPr>
        <w:lastRenderedPageBreak/>
        <w:t>Une explication/justification des remplacements/ajustements concernés sera fournie au point viii) de la section 2.1.1 de l’annexe A.2 – Instructions pour rédiger la demande complète. Si le comité d’évaluation n’accepte pas l’explication/la justification fournie, la proposition pourra être rejetée pour ce seul motif.</w:t>
      </w:r>
    </w:p>
    <w:p w14:paraId="0B83DC8A" w14:textId="77777777" w:rsidR="00894779" w:rsidRPr="005B64DF" w:rsidRDefault="00B114D9" w:rsidP="00203ABF">
      <w:pPr>
        <w:rPr>
          <w:szCs w:val="22"/>
        </w:rPr>
      </w:pPr>
      <w:bookmarkStart w:id="59" w:name="_Hlk522123599"/>
      <w:r w:rsidRPr="005B64DF">
        <w:rPr>
          <w:szCs w:val="22"/>
        </w:rPr>
        <w:t xml:space="preserve">Les demandeurs chefs de file doivent soumettre leurs demandes complètes dans la même langue que celle de leur note succincte de présentation. </w:t>
      </w:r>
    </w:p>
    <w:bookmarkEnd w:id="59"/>
    <w:p w14:paraId="5CB046DD" w14:textId="77777777" w:rsidR="003956DF" w:rsidRPr="005B64DF" w:rsidRDefault="003956DF" w:rsidP="00203ABF">
      <w:pPr>
        <w:rPr>
          <w:szCs w:val="22"/>
        </w:rPr>
      </w:pPr>
      <w:r w:rsidRPr="005B64DF">
        <w:rPr>
          <w:szCs w:val="22"/>
        </w:rPr>
        <w:t xml:space="preserve">Veuillez compléter le formulaire de demande complète aussi soigneusement et clairement que possible afin de faciliter son évaluation. </w:t>
      </w:r>
    </w:p>
    <w:p w14:paraId="719B76FB" w14:textId="77777777" w:rsidR="003956DF" w:rsidRPr="005B64DF" w:rsidRDefault="003956DF" w:rsidP="00203ABF">
      <w:pPr>
        <w:rPr>
          <w:szCs w:val="22"/>
        </w:rPr>
      </w:pPr>
      <w:r w:rsidRPr="005B64DF">
        <w:rPr>
          <w:szCs w:val="22"/>
        </w:rPr>
        <w:t>Toute erreur relative aux points mentionnés dans la liste de contrôle (annexe A.2, Instructions) ou toute incohérence majeure dans la demande complète (par exemple si les montants mentionnés dans les feuilles de calcul du budget ne correspondent pas) peut conduire au rejet de la demande.</w:t>
      </w:r>
    </w:p>
    <w:p w14:paraId="74306E32" w14:textId="77777777" w:rsidR="003956DF" w:rsidRPr="005B64DF" w:rsidRDefault="003956DF" w:rsidP="00203ABF">
      <w:pPr>
        <w:rPr>
          <w:szCs w:val="22"/>
        </w:rPr>
      </w:pPr>
      <w:r w:rsidRPr="005B64DF">
        <w:rPr>
          <w:szCs w:val="22"/>
        </w:rPr>
        <w:t>Des éclaircissements ne seront demandés que lorsque les informations fournies ne sont pas claires et empêchent donc l’administration contractante de réaliser une évaluation objective.</w:t>
      </w:r>
    </w:p>
    <w:p w14:paraId="01006D7A" w14:textId="77777777" w:rsidR="00E16F20" w:rsidRPr="005B64DF" w:rsidRDefault="003956DF" w:rsidP="00203ABF">
      <w:pPr>
        <w:rPr>
          <w:szCs w:val="22"/>
        </w:rPr>
      </w:pPr>
      <w:r w:rsidRPr="005B64DF">
        <w:rPr>
          <w:szCs w:val="22"/>
        </w:rPr>
        <w:t>Il est à noter que seuls le formulaire de demande complète et les annexes publiées qui doivent être complétées (budget, cadre logique) seront transmis aux évaluateurs (et, le cas échéant, aux assesseurs). Il est par conséquent très important que ces documents contiennent TOUTES les informations pertinentes concernant l’action.</w:t>
      </w:r>
      <w:r w:rsidRPr="005B64DF">
        <w:rPr>
          <w:b/>
          <w:szCs w:val="22"/>
        </w:rPr>
        <w:t xml:space="preserve"> </w:t>
      </w:r>
    </w:p>
    <w:p w14:paraId="087497CC" w14:textId="77777777" w:rsidR="008B69D1" w:rsidRPr="005B64DF" w:rsidRDefault="008B69D1" w:rsidP="008B69D1">
      <w:pPr>
        <w:rPr>
          <w:szCs w:val="22"/>
        </w:rPr>
      </w:pPr>
      <w:r w:rsidRPr="005B64DF">
        <w:rPr>
          <w:szCs w:val="22"/>
        </w:rPr>
        <w:t xml:space="preserve">S’il est impossible de s’enregistrer en ligne dans PADOR pour des raisons techniques, </w:t>
      </w:r>
      <w:r w:rsidRPr="005B64DF">
        <w:rPr>
          <w:b/>
          <w:bCs/>
          <w:szCs w:val="22"/>
        </w:rPr>
        <w:t>le</w:t>
      </w:r>
      <w:r w:rsidRPr="005B64DF">
        <w:rPr>
          <w:szCs w:val="22"/>
        </w:rPr>
        <w:t xml:space="preserve"> </w:t>
      </w:r>
      <w:r w:rsidRPr="005B64DF">
        <w:rPr>
          <w:b/>
          <w:szCs w:val="22"/>
        </w:rPr>
        <w:t>demandeur chef de file doit également joindre à sa demande complète les formulaires d’enregistrement PADOR (annexe F) complétés pour lui-même, pour chaque codemandeur éventuel et pour chaque entité affiliée éventuelle</w:t>
      </w:r>
      <w:r w:rsidR="00554F55" w:rsidRPr="005B64DF">
        <w:rPr>
          <w:rStyle w:val="FootnoteReference"/>
          <w:b/>
          <w:sz w:val="22"/>
          <w:szCs w:val="22"/>
          <w:lang w:eastAsia="en-GB"/>
        </w:rPr>
        <w:footnoteReference w:id="12"/>
      </w:r>
      <w:r w:rsidRPr="005B64DF">
        <w:rPr>
          <w:b/>
          <w:szCs w:val="22"/>
        </w:rPr>
        <w:t>.</w:t>
      </w:r>
      <w:r w:rsidRPr="005B64DF">
        <w:rPr>
          <w:szCs w:val="22"/>
        </w:rPr>
        <w:t xml:space="preserve"> </w:t>
      </w:r>
    </w:p>
    <w:p w14:paraId="7BF0229B" w14:textId="77777777" w:rsidR="00465AA9" w:rsidRPr="005B64DF" w:rsidRDefault="00465AA9" w:rsidP="00465AA9">
      <w:pPr>
        <w:rPr>
          <w:szCs w:val="22"/>
        </w:rPr>
      </w:pPr>
      <w:r w:rsidRPr="005B64DF">
        <w:rPr>
          <w:szCs w:val="22"/>
        </w:rPr>
        <w:t>Veuillez noter que les documents suivants doivent être téléchargés dans PADOR avant la date limite de dépôt de la demande complète ou joints au formulaire d’enregistrement PADOR avec le formulaire de demande complet:</w:t>
      </w:r>
    </w:p>
    <w:p w14:paraId="466C942C" w14:textId="77777777" w:rsidR="00465AA9" w:rsidRPr="005B64DF" w:rsidRDefault="00465AA9" w:rsidP="00575041">
      <w:pPr>
        <w:numPr>
          <w:ilvl w:val="0"/>
          <w:numId w:val="42"/>
        </w:numPr>
        <w:rPr>
          <w:szCs w:val="22"/>
        </w:rPr>
      </w:pPr>
      <w:r w:rsidRPr="005B64DF">
        <w:rPr>
          <w:szCs w:val="22"/>
        </w:rPr>
        <w:t>Les statuts ou actes constitutifs du demandeur chef de file, des éventuels codemandeurs et des éventuelles entités affiliées. Lorsqu’au cours des deux années précédant la date limite de réception des demandes, l’administration contractante a reconnu l’éligibilité du demandeur chef de file, des codemandeurs ou des entités affiliées pour un autre appel à propositions relevant de la même ligne budgétaire, ceux-ci peuvent soumettre, au lieu des statuts ou actes constitutifs, une copie du document prouvant leur éligibilité lors d’un appel précédent (par exemple, une copie des conditions particulières d’un contrat de subvention conclu pendant la période de référence), à moins que leur statut juridique ait changé entre-temps. Cette obligation ne s’applique pas aux organisations internationales ayant signé un accord-cadre avec la Commission européenne.</w:t>
      </w:r>
    </w:p>
    <w:p w14:paraId="4E7D47F5" w14:textId="77777777" w:rsidR="00C34EA3" w:rsidRPr="005B64DF" w:rsidRDefault="00465AA9" w:rsidP="00575041">
      <w:pPr>
        <w:numPr>
          <w:ilvl w:val="0"/>
          <w:numId w:val="42"/>
        </w:numPr>
        <w:rPr>
          <w:szCs w:val="22"/>
        </w:rPr>
      </w:pPr>
      <w:r w:rsidRPr="005B64DF">
        <w:rPr>
          <w:szCs w:val="22"/>
        </w:rPr>
        <w:t>Le formulaire «entité légale» (annexe D des présentes lignes directrices) dûment rempli et signé par chacun des demandeurs (le demandeur chef de file et chacun des éventuels codemandeurs), accompagné des pièces justificatives qui y sont demandées. Si les demandeurs ont déjà signé un contrat avec l’administration contractante, ils peuvent fournir leur numéro d’entité légale au lieu du formulaire «entité légale» et des pièces justificatives, à moins que leur statut juridique ait changé entre-temps.</w:t>
      </w:r>
    </w:p>
    <w:p w14:paraId="373E5207" w14:textId="77777777" w:rsidR="00465AA9" w:rsidRPr="005B64DF" w:rsidRDefault="00465AA9" w:rsidP="00575041">
      <w:pPr>
        <w:numPr>
          <w:ilvl w:val="0"/>
          <w:numId w:val="42"/>
        </w:numPr>
        <w:rPr>
          <w:szCs w:val="22"/>
        </w:rPr>
      </w:pPr>
      <w:r w:rsidRPr="005B64DF">
        <w:rPr>
          <w:szCs w:val="22"/>
        </w:rPr>
        <w:t xml:space="preserve"> Un formulaire</w:t>
      </w:r>
      <w:r w:rsidR="00CD0490" w:rsidRPr="005B64DF">
        <w:rPr>
          <w:szCs w:val="22"/>
        </w:rPr>
        <w:t xml:space="preserve"> </w:t>
      </w:r>
      <w:r w:rsidRPr="005B64DF">
        <w:rPr>
          <w:szCs w:val="22"/>
        </w:rPr>
        <w:t xml:space="preserve">«signalétique financier» du demandeur chef de file (pas du ou des codemandeurs), conforme au modèle joint dans l’annexe E des présentes lignes directrices, </w:t>
      </w:r>
      <w:r w:rsidRPr="005B64DF">
        <w:rPr>
          <w:szCs w:val="22"/>
        </w:rPr>
        <w:lastRenderedPageBreak/>
        <w:t xml:space="preserve">certifié par la banque à laquelle le paiement doit être fait. Cette banque doit être située dans le pays où le demandeur chef de file est établi. Si le demandeur chef de file a déjà soumis, dans le passé, un signalétique financier pour un contrat lorsque la Commission européenne était en charge des paiements et a l’intention d’utiliser le même compte bancaire, une copie de la fiche d’identification financière précédente peut être fournie en lieu et place de ce document. </w:t>
      </w:r>
    </w:p>
    <w:p w14:paraId="6CDDB014" w14:textId="77777777" w:rsidR="00BF43D8" w:rsidRPr="005B64DF" w:rsidRDefault="00BF43D8" w:rsidP="00BA6979">
      <w:pPr>
        <w:ind w:left="1080"/>
        <w:rPr>
          <w:szCs w:val="22"/>
          <w:lang w:val="fr-BE" w:eastAsia="fr-BE"/>
        </w:rPr>
      </w:pPr>
    </w:p>
    <w:p w14:paraId="0FB8F1CB" w14:textId="77777777" w:rsidR="00465AA9" w:rsidRPr="005B64DF" w:rsidRDefault="00465AA9" w:rsidP="00465AA9">
      <w:pPr>
        <w:rPr>
          <w:szCs w:val="22"/>
        </w:rPr>
      </w:pPr>
      <w:r w:rsidRPr="005B64DF">
        <w:rPr>
          <w:szCs w:val="22"/>
        </w:rPr>
        <w:t>En outre, aux fins de l’évaluation de la capacité financière, les documents suivants doivent être présentés</w:t>
      </w:r>
      <w:r w:rsidR="00076061" w:rsidRPr="005B64DF">
        <w:rPr>
          <w:rStyle w:val="FootnoteReference"/>
          <w:sz w:val="22"/>
          <w:szCs w:val="22"/>
        </w:rPr>
        <w:footnoteReference w:id="13"/>
      </w:r>
      <w:r w:rsidRPr="005B64DF">
        <w:rPr>
          <w:szCs w:val="22"/>
        </w:rPr>
        <w:t xml:space="preserve">:  </w:t>
      </w:r>
    </w:p>
    <w:p w14:paraId="4520BC68" w14:textId="77777777" w:rsidR="008B69D1" w:rsidRPr="005B64DF" w:rsidRDefault="008B69D1" w:rsidP="00575041">
      <w:pPr>
        <w:numPr>
          <w:ilvl w:val="0"/>
          <w:numId w:val="41"/>
        </w:numPr>
        <w:rPr>
          <w:szCs w:val="22"/>
        </w:rPr>
      </w:pPr>
      <w:r w:rsidRPr="005B64DF">
        <w:rPr>
          <w:szCs w:val="22"/>
        </w:rPr>
        <w:t xml:space="preserve">Lorsque la demande concerne une subvention pour une action dont le montant dépasse 750 000 EUR ou une subvention de fonctionnement supérieure à 100 000 EUR, le demandeur chef de file doit fournir un rapport d’audit établi par un auditeur externe agréé s’il est disponible, et dans tous les cas lorsqu’un contrôle légal est exigé par le droit de l’Union ou le droit national. Ce rapport certifie les comptes des trois derniers exercices disponibles au maximum. </w:t>
      </w:r>
    </w:p>
    <w:p w14:paraId="13E8BC73" w14:textId="77777777" w:rsidR="008B69D1" w:rsidRPr="005B64DF" w:rsidRDefault="008B69D1" w:rsidP="008B69D1">
      <w:pPr>
        <w:ind w:left="709"/>
        <w:rPr>
          <w:szCs w:val="22"/>
        </w:rPr>
      </w:pPr>
      <w:r w:rsidRPr="005B64DF">
        <w:rPr>
          <w:szCs w:val="22"/>
        </w:rPr>
        <w:t xml:space="preserve">Dans tous les autres cas, le demandeur chef de file fournit une déclaration sur l’honneur signée par son représentant autorisé, qui certifie la validité de ses comptes pour les trois derniers exercices disponibles au maximum. </w:t>
      </w:r>
    </w:p>
    <w:p w14:paraId="62923302" w14:textId="77777777" w:rsidR="008B69D1" w:rsidRPr="005B64DF" w:rsidRDefault="008B69D1" w:rsidP="008B69D1">
      <w:pPr>
        <w:ind w:left="709"/>
        <w:rPr>
          <w:szCs w:val="22"/>
        </w:rPr>
      </w:pPr>
      <w:r w:rsidRPr="005B64DF">
        <w:rPr>
          <w:szCs w:val="22"/>
        </w:rPr>
        <w:t>Cette exigence ne s’applique qu’à la première demande introduite par un même demandeur auprès de l’administration contractante lors d’un même exercice.</w:t>
      </w:r>
    </w:p>
    <w:p w14:paraId="1DBBCC83" w14:textId="77777777" w:rsidR="008B69D1" w:rsidRPr="005B64DF" w:rsidRDefault="008B69D1" w:rsidP="006C094C">
      <w:pPr>
        <w:ind w:left="709"/>
        <w:rPr>
          <w:szCs w:val="22"/>
        </w:rPr>
      </w:pPr>
      <w:r w:rsidRPr="005B64DF">
        <w:rPr>
          <w:szCs w:val="22"/>
        </w:rPr>
        <w:t>Le rapport d’audit externe ainsi que la déclaration sur l’honneur qui certifie la validité des comptes ne sont pas exigés du ou des codemandeurs ou des éventuelles entités affiliées.</w:t>
      </w:r>
    </w:p>
    <w:p w14:paraId="48A18FF0" w14:textId="77777777" w:rsidR="008B69D1" w:rsidRPr="005B64DF" w:rsidRDefault="008B69D1" w:rsidP="00575041">
      <w:pPr>
        <w:numPr>
          <w:ilvl w:val="0"/>
          <w:numId w:val="41"/>
        </w:numPr>
        <w:rPr>
          <w:szCs w:val="22"/>
        </w:rPr>
      </w:pPr>
      <w:r w:rsidRPr="005B64DF">
        <w:rPr>
          <w:szCs w:val="22"/>
        </w:rPr>
        <w:t>Une copie des états financiers les plus récents du demandeur chef de file (compte de résultat et bilan du dernier exercice clos)</w:t>
      </w:r>
      <w:r w:rsidRPr="005B64DF">
        <w:rPr>
          <w:rStyle w:val="FootnoteReference"/>
          <w:sz w:val="22"/>
          <w:szCs w:val="22"/>
        </w:rPr>
        <w:footnoteReference w:id="14"/>
      </w:r>
      <w:r w:rsidRPr="005B64DF">
        <w:rPr>
          <w:szCs w:val="22"/>
        </w:rPr>
        <w:t>. Une copie des derniers comptes n’est pas requise du ou des codemandeur(s) (le cas échéant), ni de l’entité/des entités affiliée(s) (le cas échéant).</w:t>
      </w:r>
    </w:p>
    <w:p w14:paraId="791BB590" w14:textId="77777777" w:rsidR="00465AA9" w:rsidRPr="005B64DF" w:rsidRDefault="00465AA9" w:rsidP="00465AA9">
      <w:pPr>
        <w:rPr>
          <w:bCs/>
          <w:szCs w:val="22"/>
        </w:rPr>
      </w:pPr>
      <w:r w:rsidRPr="005B64DF">
        <w:rPr>
          <w:bCs/>
          <w:szCs w:val="22"/>
        </w:rPr>
        <w:t>Les pièces justificatives demandées (chargées dans PADOR ou jointes au formulaire PADOR hors ligne) doivent être fournies sous la forme d’originaux, de photocopies ou de versions scannées (montrant, de façon lisible, les cachets, signatures et dates) de ces originaux. Les originaux doivent être conservés à des fins de contrôle.</w:t>
      </w:r>
    </w:p>
    <w:p w14:paraId="37114B2D" w14:textId="77777777" w:rsidR="00465AA9" w:rsidRPr="005B64DF" w:rsidRDefault="00465AA9" w:rsidP="00465AA9">
      <w:pPr>
        <w:rPr>
          <w:bCs/>
          <w:szCs w:val="22"/>
        </w:rPr>
      </w:pPr>
      <w:r w:rsidRPr="005B64DF">
        <w:rPr>
          <w:bCs/>
          <w:szCs w:val="22"/>
        </w:rPr>
        <w:t xml:space="preserve">Lorsque de tels documents ne sont pas rédigés dans une des langues officielles de l’Union européenne [ou dans la langue du pays où l’action est mise en œuvre], une traduction en </w:t>
      </w:r>
      <w:r w:rsidR="00874E6D" w:rsidRPr="005B64DF">
        <w:rPr>
          <w:bCs/>
          <w:szCs w:val="22"/>
        </w:rPr>
        <w:t xml:space="preserve">Français </w:t>
      </w:r>
      <w:r w:rsidRPr="005B64DF">
        <w:rPr>
          <w:bCs/>
          <w:szCs w:val="22"/>
        </w:rPr>
        <w:t xml:space="preserve"> des parties pertinentes du document prouvant l’éligibilité du demandeur chef de file et, s’il y a lieu, des codemandeurs et de leur(s) entité(s) affiliée(s) doit être jointe pour l’analyse de la demande.</w:t>
      </w:r>
    </w:p>
    <w:p w14:paraId="2D7DCC8C" w14:textId="77777777" w:rsidR="00465AA9" w:rsidRPr="005B64DF" w:rsidRDefault="00465AA9" w:rsidP="00465AA9">
      <w:pPr>
        <w:rPr>
          <w:bCs/>
          <w:szCs w:val="22"/>
        </w:rPr>
      </w:pPr>
      <w:r w:rsidRPr="005B64DF">
        <w:rPr>
          <w:bCs/>
          <w:szCs w:val="22"/>
        </w:rPr>
        <w:t xml:space="preserve">Lorsque ces documents sont rédigés dans une langue officielle de l’Union européenne autre que </w:t>
      </w:r>
      <w:r w:rsidR="00E605DC" w:rsidRPr="005B64DF">
        <w:rPr>
          <w:bCs/>
          <w:szCs w:val="22"/>
        </w:rPr>
        <w:t>celle de</w:t>
      </w:r>
      <w:r w:rsidRPr="005B64DF">
        <w:rPr>
          <w:bCs/>
          <w:szCs w:val="22"/>
        </w:rPr>
        <w:t xml:space="preserve"> l’appel à propositions, il est fortement recommandé, de manière à faciliter l’évaluation, de fournir une traduction en </w:t>
      </w:r>
      <w:r w:rsidR="007737F4" w:rsidRPr="005B64DF">
        <w:rPr>
          <w:bCs/>
          <w:szCs w:val="22"/>
        </w:rPr>
        <w:t>Français</w:t>
      </w:r>
      <w:r w:rsidRPr="005B64DF">
        <w:rPr>
          <w:bCs/>
          <w:szCs w:val="22"/>
        </w:rPr>
        <w:t xml:space="preserve"> des parties pertinentes des documents prouvant l’éligibilité du demandeur chef de file et, s’il y a lieu, des codemandeurs et de leur(s) entité(s) affiliée(s).</w:t>
      </w:r>
    </w:p>
    <w:p w14:paraId="4E1CF079" w14:textId="77777777" w:rsidR="00465AA9" w:rsidRPr="005B64DF" w:rsidRDefault="00465AA9" w:rsidP="00465AA9">
      <w:pPr>
        <w:rPr>
          <w:bCs/>
          <w:szCs w:val="22"/>
        </w:rPr>
      </w:pPr>
      <w:r w:rsidRPr="005B64DF">
        <w:rPr>
          <w:bCs/>
          <w:szCs w:val="22"/>
        </w:rPr>
        <w:t xml:space="preserve">Les demandeurs doivent tenir compte du temps nécessaire pour obtenir les documents officiels des autorités nationales compétentes et faire traduire ces documents dans les langues autorisées lorsqu’ils enregistrent leurs données dans PADOR. </w:t>
      </w:r>
    </w:p>
    <w:p w14:paraId="47423516" w14:textId="77777777" w:rsidR="00E16F20" w:rsidRPr="005B64DF" w:rsidRDefault="00465AA9" w:rsidP="00203ABF">
      <w:pPr>
        <w:rPr>
          <w:b/>
          <w:szCs w:val="22"/>
        </w:rPr>
      </w:pPr>
      <w:r w:rsidRPr="005B64DF">
        <w:rPr>
          <w:szCs w:val="22"/>
        </w:rPr>
        <w:lastRenderedPageBreak/>
        <w:t>Si les pièces justificatives susmentionnées ne sont pas fournies à la date limite de soumission de la demande complète, la demande peut être rejetée.</w:t>
      </w:r>
    </w:p>
    <w:p w14:paraId="51FB72BE" w14:textId="77777777" w:rsidR="003956DF" w:rsidRPr="005B64DF" w:rsidRDefault="00624D8E" w:rsidP="00203ABF">
      <w:pPr>
        <w:rPr>
          <w:szCs w:val="22"/>
        </w:rPr>
      </w:pPr>
      <w:r w:rsidRPr="005B64DF">
        <w:rPr>
          <w:szCs w:val="22"/>
        </w:rPr>
        <w:t>Aucune annexe supplémentaire ne doit être envoyée.</w:t>
      </w:r>
    </w:p>
    <w:p w14:paraId="366DD67D" w14:textId="77777777" w:rsidR="008B4806" w:rsidRPr="005B64DF" w:rsidRDefault="008B4806" w:rsidP="00BF7926">
      <w:pPr>
        <w:pStyle w:val="Guidelines3"/>
        <w:rPr>
          <w:sz w:val="22"/>
          <w:szCs w:val="22"/>
        </w:rPr>
      </w:pPr>
      <w:bookmarkStart w:id="60" w:name="_Toc179890140"/>
      <w:bookmarkStart w:id="61" w:name="_Toc182404640"/>
      <w:bookmarkStart w:id="62" w:name="_Toc125454357"/>
      <w:r w:rsidRPr="005B64DF">
        <w:rPr>
          <w:sz w:val="22"/>
          <w:szCs w:val="22"/>
        </w:rPr>
        <w:t>Où et comment envoyer les demandes complètes?</w:t>
      </w:r>
      <w:bookmarkEnd w:id="60"/>
      <w:bookmarkEnd w:id="61"/>
      <w:r w:rsidRPr="005B64DF">
        <w:rPr>
          <w:sz w:val="22"/>
          <w:szCs w:val="22"/>
        </w:rPr>
        <w:t xml:space="preserve"> </w:t>
      </w:r>
      <w:bookmarkEnd w:id="62"/>
    </w:p>
    <w:p w14:paraId="2ECA4FBB" w14:textId="77777777" w:rsidR="00BE2542" w:rsidRPr="005B64DF" w:rsidRDefault="00BE2542" w:rsidP="00BE2542">
      <w:pPr>
        <w:spacing w:before="240"/>
        <w:rPr>
          <w:szCs w:val="22"/>
        </w:rPr>
      </w:pPr>
      <w:r w:rsidRPr="005B64DF">
        <w:rPr>
          <w:szCs w:val="22"/>
        </w:rPr>
        <w:t xml:space="preserve">Les demandes complètes [à savoir le formulaire de demande complète, le formulaire d’enregistrement PADOR (si applicable), le budget, le cadre logique et la déclaration du demandeur chef de file] doivent être soumises en ligne via PROSPECT </w:t>
      </w:r>
      <w:hyperlink r:id="rId33" w:history="1">
        <w:r w:rsidRPr="005B64DF">
          <w:rPr>
            <w:rStyle w:val="Hyperlink"/>
            <w:color w:val="auto"/>
            <w:szCs w:val="22"/>
          </w:rPr>
          <w:t>https://webgate.ec.europa.eu/ europeaid/prospect</w:t>
        </w:r>
      </w:hyperlink>
      <w:r w:rsidRPr="005B64DF">
        <w:rPr>
          <w:szCs w:val="22"/>
        </w:rPr>
        <w:t xml:space="preserve"> en suivant les instructions données dans le manuel de l’utilisateur.</w:t>
      </w:r>
    </w:p>
    <w:p w14:paraId="22617601" w14:textId="77777777" w:rsidR="00BE2542" w:rsidRPr="005B64DF" w:rsidRDefault="00BE2542" w:rsidP="00BE2542">
      <w:pPr>
        <w:spacing w:before="240"/>
        <w:rPr>
          <w:szCs w:val="22"/>
        </w:rPr>
      </w:pPr>
      <w:r w:rsidRPr="005B64DF">
        <w:rPr>
          <w:szCs w:val="22"/>
        </w:rPr>
        <w:t xml:space="preserve">Lors de la soumission de la demande complète en ligne, les demandeurs chefs de file recevront un accusé de réception automatique sur leur profil PROSPECT. </w:t>
      </w:r>
    </w:p>
    <w:p w14:paraId="0FF8B944" w14:textId="77777777" w:rsidR="00BE2542" w:rsidRPr="005B64DF" w:rsidRDefault="00BE2542" w:rsidP="00BE2542">
      <w:pPr>
        <w:rPr>
          <w:szCs w:val="22"/>
        </w:rPr>
      </w:pPr>
      <w:r w:rsidRPr="005B64DF">
        <w:rPr>
          <w:szCs w:val="22"/>
        </w:rPr>
        <w:t>Les demandes envoyées par tout autre moyen (par exemple par télécopie ou courrier électronique) ou remises à d’autres adresses seront rejetées. Les demandes manuscrites ne seront pas acceptées.</w:t>
      </w:r>
    </w:p>
    <w:p w14:paraId="53E82252" w14:textId="77777777" w:rsidR="008B4806" w:rsidRPr="005B64DF" w:rsidRDefault="00BE2542" w:rsidP="00203ABF">
      <w:pPr>
        <w:rPr>
          <w:b/>
          <w:szCs w:val="22"/>
        </w:rPr>
      </w:pPr>
      <w:r w:rsidRPr="005B64DF">
        <w:rPr>
          <w:b/>
          <w:szCs w:val="22"/>
          <w:u w:val="single"/>
        </w:rPr>
        <w:t>Veuillez noter que les demandes incomplètes peuvent être rejetées</w:t>
      </w:r>
      <w:r w:rsidRPr="005B64DF">
        <w:rPr>
          <w:b/>
          <w:szCs w:val="22"/>
        </w:rPr>
        <w:t xml:space="preserve">. </w:t>
      </w:r>
      <w:r w:rsidRPr="005B64DF">
        <w:rPr>
          <w:szCs w:val="22"/>
        </w:rPr>
        <w:t>Il est conseillé aux demandeurs chefs de file de vérifier que leur demande est complète en utilisant la liste de contrôle (annexe A.2, Instructions).</w:t>
      </w:r>
    </w:p>
    <w:p w14:paraId="0B797B9C" w14:textId="77777777" w:rsidR="008B4806" w:rsidRPr="005B64DF" w:rsidRDefault="008B4806" w:rsidP="00BF7926">
      <w:pPr>
        <w:pStyle w:val="Guidelines3"/>
        <w:rPr>
          <w:sz w:val="22"/>
          <w:szCs w:val="22"/>
        </w:rPr>
      </w:pPr>
      <w:bookmarkStart w:id="63" w:name="_Toc179890141"/>
      <w:bookmarkStart w:id="64" w:name="_Toc182404641"/>
      <w:bookmarkStart w:id="65" w:name="_Toc125454358"/>
      <w:r w:rsidRPr="005B64DF">
        <w:rPr>
          <w:sz w:val="22"/>
          <w:szCs w:val="22"/>
        </w:rPr>
        <w:t>Date limite de soumission des demandes complètes</w:t>
      </w:r>
      <w:bookmarkEnd w:id="63"/>
      <w:bookmarkEnd w:id="64"/>
      <w:r w:rsidRPr="005B64DF">
        <w:rPr>
          <w:sz w:val="22"/>
          <w:szCs w:val="22"/>
        </w:rPr>
        <w:t xml:space="preserve"> </w:t>
      </w:r>
      <w:bookmarkEnd w:id="65"/>
    </w:p>
    <w:p w14:paraId="4E87BEA7" w14:textId="77777777" w:rsidR="009C3783" w:rsidRDefault="00235015" w:rsidP="00235015">
      <w:pPr>
        <w:spacing w:before="240"/>
        <w:rPr>
          <w:szCs w:val="22"/>
        </w:rPr>
      </w:pPr>
      <w:r w:rsidRPr="005B64DF">
        <w:rPr>
          <w:szCs w:val="22"/>
        </w:rPr>
        <w:t xml:space="preserve">La date limite de soumission des demandes complètes sera communiquée dans la lettre envoyée aux demandeurs chefs de file dont la demande aura été présélectionnée. Cette lettre apparaîtra automatiquement en ligne sur le profil PROSPECT du demandeur chef de file. </w:t>
      </w:r>
      <w:r w:rsidRPr="005B64DF">
        <w:rPr>
          <w:b/>
          <w:szCs w:val="22"/>
        </w:rPr>
        <w:t>Il est vivement conseillé aux demandeurs chefs de file de ne pas attendre le dernier jour pour soumettre leurs demandes complètes</w:t>
      </w:r>
      <w:r w:rsidRPr="005B64DF">
        <w:rPr>
          <w:szCs w:val="22"/>
        </w:rPr>
        <w:t xml:space="preserve">, car un encombrement ou une quelconque défaillance de la connexion internet (y compris une panne de courant, etc.) pourrait entraîner des difficultés dans la soumission. L’administration contractante ne peut être tenue pour responsable de tout retard en raison des difficultés susmentionnées. </w:t>
      </w:r>
    </w:p>
    <w:p w14:paraId="48A9E23C" w14:textId="77777777" w:rsidR="009C3783" w:rsidRPr="005B64DF" w:rsidRDefault="009C3783" w:rsidP="00235015">
      <w:pPr>
        <w:spacing w:before="240"/>
        <w:rPr>
          <w:szCs w:val="22"/>
        </w:rPr>
      </w:pPr>
      <w:r>
        <w:rPr>
          <w:b/>
          <w:bCs/>
          <w:szCs w:val="22"/>
        </w:rPr>
        <w:t>Il est vivement conseillé aux demandeurs chefs de file de ne pas attendre le dernier jour pour soumettre leurs demandes complètes</w:t>
      </w:r>
      <w:r>
        <w:rPr>
          <w:szCs w:val="22"/>
        </w:rPr>
        <w:t>, car un encombrement ou une quelconque défaillance de la connexion internet (y compris une panne de courant, etc.) pourrait entraîner des difficultés dans la soumission. L’administration contractante ne peut être tenue pour responsable de tout retard en raison des difficultés susmentionnées.</w:t>
      </w:r>
    </w:p>
    <w:p w14:paraId="38590245" w14:textId="77777777" w:rsidR="00B41A93" w:rsidRPr="005B64DF" w:rsidRDefault="00235015" w:rsidP="00235015">
      <w:pPr>
        <w:spacing w:before="240"/>
        <w:rPr>
          <w:szCs w:val="22"/>
        </w:rPr>
      </w:pPr>
      <w:r w:rsidRPr="005B64DF">
        <w:rPr>
          <w:szCs w:val="22"/>
        </w:rPr>
        <w:t xml:space="preserve">Toute demande soumise après la date limite sera rejetée. </w:t>
      </w:r>
    </w:p>
    <w:p w14:paraId="49B8EF2D" w14:textId="77777777" w:rsidR="008B4806" w:rsidRPr="005B64DF" w:rsidRDefault="008B4806" w:rsidP="00BF7926">
      <w:pPr>
        <w:pStyle w:val="Guidelines3"/>
        <w:rPr>
          <w:sz w:val="22"/>
          <w:szCs w:val="22"/>
        </w:rPr>
      </w:pPr>
      <w:bookmarkStart w:id="66" w:name="_Toc179890142"/>
      <w:bookmarkStart w:id="67" w:name="_Toc182404642"/>
      <w:bookmarkStart w:id="68" w:name="_Toc125454359"/>
      <w:r w:rsidRPr="005B64DF">
        <w:rPr>
          <w:sz w:val="22"/>
          <w:szCs w:val="22"/>
        </w:rPr>
        <w:t>Autres informations concernant les demandes complètes</w:t>
      </w:r>
      <w:bookmarkEnd w:id="66"/>
      <w:bookmarkEnd w:id="67"/>
      <w:r w:rsidRPr="005B64DF">
        <w:rPr>
          <w:sz w:val="22"/>
          <w:szCs w:val="22"/>
        </w:rPr>
        <w:t xml:space="preserve"> </w:t>
      </w:r>
      <w:bookmarkEnd w:id="68"/>
    </w:p>
    <w:p w14:paraId="56BC7095" w14:textId="77777777" w:rsidR="008B4806" w:rsidRPr="005B64DF" w:rsidRDefault="008B4806" w:rsidP="00203ABF">
      <w:pPr>
        <w:spacing w:before="240"/>
        <w:rPr>
          <w:szCs w:val="22"/>
        </w:rPr>
      </w:pPr>
      <w:r w:rsidRPr="005B64DF">
        <w:rPr>
          <w:szCs w:val="22"/>
        </w:rPr>
        <w:t>Les demandeurs peuvent envoyer leurs questions par courrier électronique [ou par télécopie], au plus tard 21 jours avant la date limite de soumission des demandes complètes, aux adresses figurant ci-après, en indiquant clairement la référence de l’appel à propositions:</w:t>
      </w:r>
    </w:p>
    <w:p w14:paraId="1637D8CD" w14:textId="77777777" w:rsidR="008B4806" w:rsidRPr="005B64DF" w:rsidRDefault="008B4806" w:rsidP="00203ABF">
      <w:pPr>
        <w:ind w:left="709"/>
        <w:rPr>
          <w:szCs w:val="22"/>
        </w:rPr>
      </w:pPr>
      <w:r w:rsidRPr="005B64DF">
        <w:rPr>
          <w:szCs w:val="22"/>
        </w:rPr>
        <w:t xml:space="preserve">Adresse électronique: </w:t>
      </w:r>
      <w:hyperlink r:id="rId34" w:history="1">
        <w:r w:rsidR="005F26C0" w:rsidRPr="005B64DF">
          <w:rPr>
            <w:rStyle w:val="Hyperlink"/>
            <w:color w:val="auto"/>
            <w:szCs w:val="22"/>
          </w:rPr>
          <w:t>delegation-senegal-tenders@eeas.europa.eu</w:t>
        </w:r>
      </w:hyperlink>
    </w:p>
    <w:p w14:paraId="7784EDB0" w14:textId="77777777" w:rsidR="007C4720" w:rsidRPr="005B64DF" w:rsidRDefault="007C4720" w:rsidP="00203ABF">
      <w:pPr>
        <w:rPr>
          <w:szCs w:val="22"/>
        </w:rPr>
      </w:pPr>
      <w:r w:rsidRPr="005B64DF">
        <w:rPr>
          <w:szCs w:val="22"/>
        </w:rPr>
        <w:t>L’administration contractante n’a aucune obligation de fournir des éclaircissements sur des questions reçues après cette date.</w:t>
      </w:r>
    </w:p>
    <w:p w14:paraId="419F6223" w14:textId="77777777" w:rsidR="008B4806" w:rsidRPr="005B64DF" w:rsidRDefault="008B4806" w:rsidP="00203ABF">
      <w:pPr>
        <w:rPr>
          <w:szCs w:val="22"/>
        </w:rPr>
      </w:pPr>
      <w:r w:rsidRPr="005B64DF">
        <w:rPr>
          <w:szCs w:val="22"/>
        </w:rPr>
        <w:lastRenderedPageBreak/>
        <w:t xml:space="preserve">Les réponses seront communiquées au plus tard 11 jours avant la date limite de soumission des demandes complètes. </w:t>
      </w:r>
    </w:p>
    <w:p w14:paraId="1A84B375" w14:textId="77777777" w:rsidR="00376E92" w:rsidRPr="005B64DF" w:rsidRDefault="0040484C" w:rsidP="00203ABF">
      <w:pPr>
        <w:rPr>
          <w:szCs w:val="22"/>
        </w:rPr>
      </w:pPr>
      <w:r w:rsidRPr="005B64DF">
        <w:rPr>
          <w:szCs w:val="22"/>
        </w:rPr>
        <w:t>Afin de garantir l’égalité de traitement des demandeurs, l’administration contractante ne peut pas donner d’avis préalable sur l’éligibilité des demandeurs chefs de file, des codemandeurs, de l’entité/des entités affiliée(s) ou d’une action.</w:t>
      </w:r>
    </w:p>
    <w:p w14:paraId="6FE541B4" w14:textId="77777777" w:rsidR="007A3169" w:rsidRPr="005B64DF" w:rsidRDefault="00376E92" w:rsidP="00203ABF">
      <w:pPr>
        <w:rPr>
          <w:szCs w:val="22"/>
        </w:rPr>
      </w:pPr>
      <w:r w:rsidRPr="005B64DF">
        <w:rPr>
          <w:szCs w:val="22"/>
        </w:rPr>
        <w:t xml:space="preserve">Aucune réponse individuelle ne sera donnée aux questions posées. Toutes les questions et leurs réponses ainsi que d’autres informations importantes communiquées aux demandeurs au cours de la procédure d’évaluation seront publiées en temps utile sur le site internet de la Direction générale des partenariats internationaux, à l’adresse suivante: </w:t>
      </w:r>
      <w:hyperlink r:id="rId35" w:history="1">
        <w:r w:rsidRPr="005B64DF">
          <w:rPr>
            <w:rStyle w:val="Hyperlink"/>
            <w:color w:val="auto"/>
            <w:szCs w:val="22"/>
          </w:rPr>
          <w:t>https://ec.europa.eu/international-partnerships/home_fr</w:t>
        </w:r>
      </w:hyperlink>
      <w:r w:rsidRPr="005B64DF">
        <w:rPr>
          <w:szCs w:val="22"/>
        </w:rPr>
        <w:t xml:space="preserve"> . Il est par conséquent recommandé de consulter régulièrement le site internet dont l’adresse figure ci-dessus afin d’être informé des questions et réponses publiées.</w:t>
      </w:r>
    </w:p>
    <w:p w14:paraId="49168B0E" w14:textId="77777777" w:rsidR="00045368" w:rsidRPr="005B64DF" w:rsidRDefault="00045368" w:rsidP="00203ABF">
      <w:pPr>
        <w:rPr>
          <w:szCs w:val="22"/>
        </w:rPr>
      </w:pPr>
      <w:r w:rsidRPr="005B64DF">
        <w:rPr>
          <w:szCs w:val="22"/>
        </w:rPr>
        <w:t xml:space="preserve">Toutes les questions relatives à l’enregistrement dans PADOR ou à la soumission en ligne via PROSPECT doivent être adressées au helpdesk informatique à l’adresse </w:t>
      </w:r>
      <w:hyperlink r:id="rId36" w:history="1">
        <w:r w:rsidRPr="005B64DF">
          <w:rPr>
            <w:rStyle w:val="Hyperlink"/>
            <w:color w:val="auto"/>
            <w:szCs w:val="22"/>
          </w:rPr>
          <w:t>INTPA-SUPPORT-SERVICES@ec.europa.eu</w:t>
        </w:r>
      </w:hyperlink>
      <w:r w:rsidRPr="005B64DF">
        <w:rPr>
          <w:szCs w:val="22"/>
        </w:rPr>
        <w:t xml:space="preserve"> </w:t>
      </w:r>
      <w:r w:rsidRPr="005B64DF">
        <w:rPr>
          <w:b/>
          <w:szCs w:val="22"/>
        </w:rPr>
        <w:t>au moyen du formulaire d’assistance en ligne PROSPECT:</w:t>
      </w:r>
      <w:r w:rsidRPr="005B64DF">
        <w:rPr>
          <w:szCs w:val="22"/>
        </w:rPr>
        <w:t xml:space="preserve"> Veuillez noter que les langues de travail du soutien informatique sont: l’anglais, le français et l’espagnol. Par conséquent, les utilisateurs sont invités à envoyer leurs questions en anglais, français ou espagnol s’ils souhaitent bénéficier d’un délai de réponse optimal.</w:t>
      </w:r>
    </w:p>
    <w:p w14:paraId="00E16AE3" w14:textId="77777777" w:rsidR="0007408E" w:rsidRPr="005B64DF" w:rsidRDefault="0007408E" w:rsidP="00575041">
      <w:pPr>
        <w:pStyle w:val="Guidelines2"/>
        <w:numPr>
          <w:ilvl w:val="1"/>
          <w:numId w:val="17"/>
        </w:numPr>
        <w:rPr>
          <w:rFonts w:ascii="Times New Roman" w:hAnsi="Times New Roman"/>
          <w:i/>
          <w:sz w:val="22"/>
          <w:szCs w:val="22"/>
        </w:rPr>
      </w:pPr>
      <w:bookmarkStart w:id="69" w:name="_Toc40507653"/>
      <w:bookmarkStart w:id="70" w:name="_Toc74830964"/>
      <w:bookmarkStart w:id="71" w:name="_Toc179890143"/>
      <w:bookmarkStart w:id="72" w:name="_Toc182404643"/>
      <w:r w:rsidRPr="005B64DF">
        <w:rPr>
          <w:rFonts w:ascii="Times New Roman" w:hAnsi="Times New Roman"/>
          <w:sz w:val="22"/>
          <w:szCs w:val="22"/>
        </w:rPr>
        <w:t>Évaluation et sélection des demandes</w:t>
      </w:r>
      <w:bookmarkEnd w:id="69"/>
      <w:bookmarkEnd w:id="70"/>
      <w:bookmarkEnd w:id="71"/>
      <w:bookmarkEnd w:id="72"/>
    </w:p>
    <w:p w14:paraId="62CE2EED" w14:textId="77777777" w:rsidR="0007408E" w:rsidRPr="005B64DF" w:rsidRDefault="0007408E" w:rsidP="00203ABF">
      <w:pPr>
        <w:rPr>
          <w:szCs w:val="22"/>
        </w:rPr>
      </w:pPr>
      <w:r w:rsidRPr="005B64DF">
        <w:rPr>
          <w:szCs w:val="22"/>
        </w:rPr>
        <w:t>Les demandes seront examinées et évaluées par l’administration contractante avec l’aide, le cas échéant, d’assesseurs extérieurs. Toutes les demandes seront évaluées selon les étapes et critères décrits ci-après.</w:t>
      </w:r>
    </w:p>
    <w:p w14:paraId="1AEB173D" w14:textId="77777777" w:rsidR="00050E48" w:rsidRPr="005B64DF" w:rsidRDefault="00050E48" w:rsidP="00203ABF">
      <w:pPr>
        <w:rPr>
          <w:szCs w:val="22"/>
        </w:rPr>
      </w:pPr>
      <w:r w:rsidRPr="005B64DF">
        <w:rPr>
          <w:szCs w:val="22"/>
        </w:rPr>
        <w:t xml:space="preserve">Si l’examen de la demande révèle que l’action proposée ne satisfait pas aux </w:t>
      </w:r>
      <w:r w:rsidRPr="005B64DF">
        <w:rPr>
          <w:szCs w:val="22"/>
          <w:u w:val="single"/>
        </w:rPr>
        <w:t>critères d’éligibilité</w:t>
      </w:r>
      <w:r w:rsidRPr="005B64DF">
        <w:rPr>
          <w:szCs w:val="22"/>
        </w:rPr>
        <w:t xml:space="preserve"> énoncés à la section 2.1, la demande sera rejetée pour ce seul motif. </w:t>
      </w:r>
    </w:p>
    <w:p w14:paraId="47E735A2" w14:textId="77777777" w:rsidR="0007408E" w:rsidRPr="005B64DF" w:rsidRDefault="00267E4F" w:rsidP="00575041">
      <w:pPr>
        <w:numPr>
          <w:ilvl w:val="0"/>
          <w:numId w:val="28"/>
        </w:numPr>
        <w:tabs>
          <w:tab w:val="left" w:pos="426"/>
          <w:tab w:val="left" w:pos="1418"/>
        </w:tabs>
        <w:ind w:left="1418" w:hanging="1418"/>
        <w:jc w:val="left"/>
        <w:rPr>
          <w:b/>
          <w:szCs w:val="22"/>
        </w:rPr>
      </w:pPr>
      <w:r w:rsidRPr="005B64DF">
        <w:rPr>
          <w:szCs w:val="22"/>
        </w:rPr>
        <w:br w:type="page"/>
      </w:r>
      <w:r w:rsidRPr="005B64DF">
        <w:rPr>
          <w:b/>
          <w:szCs w:val="22"/>
        </w:rPr>
        <w:lastRenderedPageBreak/>
        <w:t>ÉTAPE 1:</w:t>
      </w:r>
      <w:r w:rsidRPr="005B64DF">
        <w:rPr>
          <w:b/>
          <w:szCs w:val="22"/>
        </w:rPr>
        <w:tab/>
        <w:t xml:space="preserve"> VÉRIFICATION ADMINISTRATIVE ET ÉVALUATION DES NOTES SUCCINCTES DE PRÉSENTATION</w:t>
      </w:r>
    </w:p>
    <w:p w14:paraId="0C0163B8" w14:textId="77777777" w:rsidR="00402677" w:rsidRPr="005B64DF" w:rsidRDefault="007C4578" w:rsidP="006F280A">
      <w:pPr>
        <w:rPr>
          <w:szCs w:val="22"/>
        </w:rPr>
      </w:pPr>
      <w:r w:rsidRPr="005B64DF">
        <w:rPr>
          <w:szCs w:val="22"/>
        </w:rPr>
        <w:t>Au stade de la vérification administrative, les éléments suivants seront évalués:</w:t>
      </w:r>
    </w:p>
    <w:p w14:paraId="2C5B317B" w14:textId="77777777" w:rsidR="0059080E" w:rsidRPr="005B64DF" w:rsidRDefault="00825A19" w:rsidP="00575041">
      <w:pPr>
        <w:numPr>
          <w:ilvl w:val="0"/>
          <w:numId w:val="29"/>
        </w:numPr>
        <w:rPr>
          <w:szCs w:val="22"/>
        </w:rPr>
      </w:pPr>
      <w:r w:rsidRPr="005B64DF">
        <w:rPr>
          <w:szCs w:val="22"/>
        </w:rPr>
        <w:t xml:space="preserve">respect, par la note succincte de présentation, de tous les critères spécifiés dans la liste de contrôle à l’annexe A.1, Instructions, du formulaire de demande de subvention. Cela comprend également une évaluation de l’éligibilité de l’action. Si l’une des informations demandées manque ou est incorrecte, la demande peut être rejetée pour ce </w:t>
      </w:r>
      <w:r w:rsidRPr="005B64DF">
        <w:rPr>
          <w:b/>
          <w:szCs w:val="22"/>
          <w:u w:val="single"/>
        </w:rPr>
        <w:t>seul</w:t>
      </w:r>
      <w:r w:rsidRPr="005B64DF">
        <w:rPr>
          <w:szCs w:val="22"/>
        </w:rPr>
        <w:t xml:space="preserve"> motif et elle ne sera pas évaluée plus avant.</w:t>
      </w:r>
    </w:p>
    <w:p w14:paraId="418618E5" w14:textId="77777777" w:rsidR="00C727EC" w:rsidRPr="005B64DF" w:rsidRDefault="00400B42" w:rsidP="006F280A">
      <w:pPr>
        <w:rPr>
          <w:szCs w:val="22"/>
        </w:rPr>
      </w:pPr>
      <w:r w:rsidRPr="005B64DF">
        <w:rPr>
          <w:szCs w:val="22"/>
        </w:rPr>
        <w:t>Les notes succinctes de présentation satisfaisant aux conditions de ce contrôle seront évaluées au regard de la pertinence et de la conception de l’action proposée.</w:t>
      </w:r>
    </w:p>
    <w:p w14:paraId="5075E188" w14:textId="77777777" w:rsidR="00400B42" w:rsidRPr="005B64DF" w:rsidRDefault="00400B42" w:rsidP="006F280A">
      <w:pPr>
        <w:rPr>
          <w:szCs w:val="22"/>
        </w:rPr>
      </w:pPr>
      <w:r w:rsidRPr="005B64DF">
        <w:rPr>
          <w:szCs w:val="22"/>
        </w:rPr>
        <w:t>Les notes succinctes de présentation se verront attribuer une note globale sur 50, ventilée suivant la grille d’évaluation ci-après. L’évaluation permettra aussi de vérifier la conformité avec les instructions relatives à la manière de remplir la note succincte de présentation, qui figurent à l’annexe A.1.</w:t>
      </w:r>
    </w:p>
    <w:p w14:paraId="5559FE2A" w14:textId="77777777" w:rsidR="00ED5802" w:rsidRPr="005B64DF" w:rsidRDefault="00ED5802" w:rsidP="006F280A">
      <w:pPr>
        <w:rPr>
          <w:szCs w:val="22"/>
        </w:rPr>
      </w:pPr>
      <w:bookmarkStart w:id="73" w:name="_Toc159211906"/>
      <w:bookmarkStart w:id="74" w:name="_Toc159212662"/>
      <w:bookmarkStart w:id="75" w:name="_Toc159212881"/>
      <w:bookmarkStart w:id="76" w:name="_Toc159213197"/>
      <w:r w:rsidRPr="005B64DF">
        <w:rPr>
          <w:szCs w:val="22"/>
        </w:rPr>
        <w:t xml:space="preserve">Les </w:t>
      </w:r>
      <w:r w:rsidRPr="005B64DF">
        <w:rPr>
          <w:szCs w:val="22"/>
          <w:u w:val="single"/>
        </w:rPr>
        <w:t>critères d’évaluation</w:t>
      </w:r>
      <w:r w:rsidRPr="005B64DF">
        <w:rPr>
          <w:szCs w:val="22"/>
        </w:rPr>
        <w:t xml:space="preserve"> sont classés par rubriques et sous-rubriques. Chaque sous-rubrique se voit attribuer une note comprise entre 1 et 5 comme suit: 1 = très faible; 2 = faible; 3 = satisfaisant; 4 = bon; 5 = très bon.</w:t>
      </w:r>
    </w:p>
    <w:bookmarkEnd w:id="73"/>
    <w:bookmarkEnd w:id="74"/>
    <w:bookmarkEnd w:id="75"/>
    <w:bookmarkEnd w:id="76"/>
    <w:p w14:paraId="78787057" w14:textId="77777777" w:rsidR="00A6547C" w:rsidRPr="005B64DF" w:rsidRDefault="00A6547C" w:rsidP="00A6547C">
      <w:pPr>
        <w:rPr>
          <w:b/>
          <w:szCs w:val="22"/>
        </w:rPr>
      </w:pPr>
      <w:r w:rsidRPr="005B64DF">
        <w:rPr>
          <w:b/>
          <w:szCs w:val="22"/>
        </w:rPr>
        <w:t>Grille d’évaluation</w:t>
      </w:r>
    </w:p>
    <w:tbl>
      <w:tblPr>
        <w:tblW w:w="9990" w:type="dxa"/>
        <w:tblLayout w:type="fixed"/>
        <w:tblLook w:val="01E0" w:firstRow="1" w:lastRow="1" w:firstColumn="1" w:lastColumn="1" w:noHBand="0" w:noVBand="0"/>
      </w:tblPr>
      <w:tblGrid>
        <w:gridCol w:w="8682"/>
        <w:gridCol w:w="1308"/>
      </w:tblGrid>
      <w:tr w:rsidR="00A6547C" w:rsidRPr="005B64DF" w14:paraId="1CABC949"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AA6B4" w14:textId="77777777" w:rsidR="00A6547C" w:rsidRPr="005B64DF" w:rsidRDefault="00A6547C" w:rsidP="00DF6F65">
            <w:pPr>
              <w:snapToGrid w:val="0"/>
              <w:rPr>
                <w:b/>
                <w:szCs w:val="22"/>
              </w:rPr>
            </w:pPr>
            <w:r w:rsidRPr="005B64DF">
              <w:rPr>
                <w:b/>
                <w:szCs w:val="22"/>
              </w:rPr>
              <w:t>Section</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A0CD9" w14:textId="77777777" w:rsidR="00A6547C" w:rsidRPr="005B64DF" w:rsidRDefault="00A6547C" w:rsidP="00DF6F65">
            <w:pPr>
              <w:snapToGrid w:val="0"/>
              <w:jc w:val="center"/>
              <w:rPr>
                <w:b/>
                <w:szCs w:val="22"/>
              </w:rPr>
            </w:pPr>
            <w:r w:rsidRPr="005B64DF">
              <w:rPr>
                <w:b/>
                <w:szCs w:val="22"/>
              </w:rPr>
              <w:t>Note maximale</w:t>
            </w:r>
          </w:p>
        </w:tc>
      </w:tr>
      <w:tr w:rsidR="00A6547C" w:rsidRPr="005B64DF" w14:paraId="7E43587F"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5B0F1" w14:textId="77777777" w:rsidR="00A6547C" w:rsidRPr="005B64DF" w:rsidRDefault="00A6547C" w:rsidP="00DF6F65">
            <w:pPr>
              <w:snapToGrid w:val="0"/>
              <w:jc w:val="left"/>
              <w:rPr>
                <w:b/>
                <w:szCs w:val="22"/>
                <w:lang w:val="en-US"/>
              </w:rPr>
            </w:pPr>
            <w:r w:rsidRPr="005B64DF">
              <w:rPr>
                <w:b/>
                <w:szCs w:val="22"/>
                <w:lang w:val="en-US"/>
              </w:rPr>
              <w:t>1. Pertinence de l'action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4371C29A" w14:textId="77777777" w:rsidR="00A6547C" w:rsidRPr="005B64DF" w:rsidRDefault="00A6547C" w:rsidP="00A6547C">
            <w:pPr>
              <w:snapToGrid w:val="0"/>
              <w:spacing w:before="120" w:after="120"/>
              <w:rPr>
                <w:b/>
                <w:szCs w:val="22"/>
              </w:rPr>
            </w:pPr>
            <w:r w:rsidRPr="005B64DF">
              <w:rPr>
                <w:b/>
                <w:noProof/>
                <w:szCs w:val="22"/>
              </w:rPr>
              <w:t>20</w:t>
            </w:r>
          </w:p>
        </w:tc>
      </w:tr>
      <w:tr w:rsidR="00A6547C" w:rsidRPr="005B64DF" w14:paraId="4C7420FA"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78A6F612" w14:textId="77777777" w:rsidR="00A6547C" w:rsidRPr="005B64DF" w:rsidRDefault="00A6547C" w:rsidP="00A6547C">
            <w:pPr>
              <w:snapToGrid w:val="0"/>
              <w:spacing w:before="120" w:after="120"/>
              <w:ind w:left="340" w:hanging="340"/>
              <w:rPr>
                <w:szCs w:val="22"/>
                <w:lang w:val="fr-BE"/>
              </w:rPr>
            </w:pPr>
            <w:r w:rsidRPr="005B64DF">
              <w:rPr>
                <w:noProof/>
                <w:szCs w:val="22"/>
                <w:lang w:val="fr-BE"/>
              </w:rPr>
              <w:t>1.1. Dans quelle mesure la proposition est-elle pertinente par rapport aux objectifs et aux priorités de l'appel à propositions et aux thèmes / secteurs / domaines spécifiques ou à toute autre exigence spécifique énoncée dans les lignes directrices à l'intention des candidats ? Les résultats attendus de l'action sont-ils alignés sur les priorités définies dans les lignes directrices à l'intention des demandeurs (section 1.2) ?</w:t>
            </w:r>
          </w:p>
        </w:tc>
        <w:tc>
          <w:tcPr>
            <w:tcW w:w="1308" w:type="dxa"/>
            <w:tcBorders>
              <w:top w:val="single" w:sz="4" w:space="0" w:color="auto"/>
              <w:left w:val="single" w:sz="4" w:space="0" w:color="auto"/>
              <w:bottom w:val="single" w:sz="4" w:space="0" w:color="auto"/>
              <w:right w:val="single" w:sz="4" w:space="0" w:color="auto"/>
            </w:tcBorders>
            <w:hideMark/>
          </w:tcPr>
          <w:p w14:paraId="383B0D25"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582D5A4E"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1E21FD2D" w14:textId="77777777" w:rsidR="00A6547C" w:rsidRPr="005B64DF" w:rsidRDefault="00A6547C" w:rsidP="00A6547C">
            <w:pPr>
              <w:snapToGrid w:val="0"/>
              <w:spacing w:before="120" w:after="120"/>
              <w:ind w:left="340" w:hanging="340"/>
              <w:rPr>
                <w:szCs w:val="22"/>
                <w:lang w:val="fr-BE"/>
              </w:rPr>
            </w:pPr>
            <w:r w:rsidRPr="005B64DF">
              <w:rPr>
                <w:noProof/>
                <w:szCs w:val="22"/>
                <w:lang w:val="fr-BE"/>
              </w:rPr>
              <w:t>1.2. Dans quelle mesure la proposition est-elle pertinente par rapport aux besoins et contraintes spécifiques du (des) pays, région (s) et / ou secteur (s) cible (s) (y compris la synergie avec d'autres initiatives de développement et absence de double emploi) ?</w:t>
            </w:r>
          </w:p>
        </w:tc>
        <w:tc>
          <w:tcPr>
            <w:tcW w:w="1308" w:type="dxa"/>
            <w:tcBorders>
              <w:top w:val="single" w:sz="4" w:space="0" w:color="auto"/>
              <w:left w:val="single" w:sz="4" w:space="0" w:color="auto"/>
              <w:bottom w:val="single" w:sz="4" w:space="0" w:color="auto"/>
              <w:right w:val="single" w:sz="4" w:space="0" w:color="auto"/>
            </w:tcBorders>
            <w:hideMark/>
          </w:tcPr>
          <w:p w14:paraId="18FA5F79"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661782D6"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5EEE48C3" w14:textId="77777777" w:rsidR="00A6547C" w:rsidRPr="005B64DF" w:rsidRDefault="00A6547C" w:rsidP="00A6547C">
            <w:pPr>
              <w:snapToGrid w:val="0"/>
              <w:spacing w:before="120" w:after="120"/>
              <w:ind w:left="340" w:hanging="340"/>
              <w:rPr>
                <w:szCs w:val="22"/>
                <w:lang w:val="fr-BE"/>
              </w:rPr>
            </w:pPr>
            <w:r w:rsidRPr="005B64DF">
              <w:rPr>
                <w:noProof/>
                <w:szCs w:val="22"/>
                <w:lang w:val="fr-BE"/>
              </w:rPr>
              <w:t>1.3. Dans quelle mesure les parties impliquées (bénéficiaires finaux, groupes cibles) sont-elles clairement définies et choisies stratégiquement? Leurs besoins (en tant que titulaires de droits et / ou détenteurs d'obligations) et leurs contraintes ont-ils été clairement définis et la proposition les traite-t-elle de manière appropriée ?</w:t>
            </w:r>
          </w:p>
        </w:tc>
        <w:tc>
          <w:tcPr>
            <w:tcW w:w="1308" w:type="dxa"/>
            <w:tcBorders>
              <w:top w:val="single" w:sz="4" w:space="0" w:color="auto"/>
              <w:left w:val="single" w:sz="4" w:space="0" w:color="auto"/>
              <w:bottom w:val="single" w:sz="4" w:space="0" w:color="auto"/>
              <w:right w:val="single" w:sz="4" w:space="0" w:color="auto"/>
            </w:tcBorders>
            <w:hideMark/>
          </w:tcPr>
          <w:p w14:paraId="766A464A"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791308D6"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2F03329F" w14:textId="77777777" w:rsidR="00A6547C" w:rsidRPr="005B64DF" w:rsidRDefault="00A6547C" w:rsidP="00A6547C">
            <w:pPr>
              <w:snapToGrid w:val="0"/>
              <w:spacing w:before="120" w:after="120"/>
              <w:ind w:left="340" w:hanging="340"/>
              <w:rPr>
                <w:szCs w:val="22"/>
                <w:lang w:val="fr-BE"/>
              </w:rPr>
            </w:pPr>
            <w:r w:rsidRPr="005B64DF">
              <w:rPr>
                <w:noProof/>
                <w:szCs w:val="22"/>
                <w:lang w:val="fr-BE"/>
              </w:rPr>
              <w:t>1.4. La proposition contient-elle des éléments particuliers à valeur ajoutée (par exemple, innovation, meilleures pratiques) ? [et les autres éléments supplémentaires indiqués sous 1.2. des lignes directrices pour les demandeurs]</w:t>
            </w:r>
          </w:p>
        </w:tc>
        <w:tc>
          <w:tcPr>
            <w:tcW w:w="1308" w:type="dxa"/>
            <w:tcBorders>
              <w:top w:val="single" w:sz="4" w:space="0" w:color="auto"/>
              <w:left w:val="single" w:sz="4" w:space="0" w:color="auto"/>
              <w:bottom w:val="single" w:sz="4" w:space="0" w:color="auto"/>
              <w:right w:val="single" w:sz="4" w:space="0" w:color="auto"/>
            </w:tcBorders>
            <w:hideMark/>
          </w:tcPr>
          <w:p w14:paraId="28B9C04D"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48AC6568" w14:textId="77777777" w:rsidTr="00DF6F65">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46E2CA" w14:textId="77777777" w:rsidR="00A6547C" w:rsidRPr="005B64DF" w:rsidRDefault="00A6547C" w:rsidP="00DF6F65">
            <w:pPr>
              <w:snapToGrid w:val="0"/>
              <w:jc w:val="left"/>
              <w:rPr>
                <w:b/>
                <w:szCs w:val="22"/>
                <w:lang w:val="en-US"/>
              </w:rPr>
            </w:pPr>
            <w:r w:rsidRPr="005B64DF">
              <w:rPr>
                <w:b/>
                <w:szCs w:val="22"/>
                <w:lang w:val="en-US"/>
              </w:rPr>
              <w:t xml:space="preserve">2. </w:t>
            </w:r>
            <w:r w:rsidRPr="005B64DF">
              <w:rPr>
                <w:b/>
                <w:noProof/>
                <w:szCs w:val="22"/>
                <w:lang w:val="en-US"/>
              </w:rPr>
              <w:t>Conception de l'action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3C7752B3" w14:textId="77777777" w:rsidR="00A6547C" w:rsidRPr="005B64DF" w:rsidRDefault="00A6547C" w:rsidP="00A6547C">
            <w:pPr>
              <w:snapToGrid w:val="0"/>
              <w:spacing w:before="120" w:after="120"/>
              <w:rPr>
                <w:b/>
                <w:szCs w:val="22"/>
              </w:rPr>
            </w:pPr>
            <w:r w:rsidRPr="005B64DF">
              <w:rPr>
                <w:b/>
                <w:bCs/>
                <w:noProof/>
                <w:szCs w:val="22"/>
              </w:rPr>
              <w:t>30</w:t>
            </w:r>
          </w:p>
        </w:tc>
      </w:tr>
      <w:tr w:rsidR="00A6547C" w:rsidRPr="005B64DF" w14:paraId="5EEDFEB1"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18BB3275" w14:textId="77777777" w:rsidR="00A6547C" w:rsidRPr="005B64DF" w:rsidRDefault="00A6547C" w:rsidP="00A6547C">
            <w:pPr>
              <w:snapToGrid w:val="0"/>
              <w:spacing w:before="120" w:after="120"/>
              <w:rPr>
                <w:szCs w:val="22"/>
                <w:lang w:val="fr-BE"/>
              </w:rPr>
            </w:pPr>
            <w:r w:rsidRPr="005B64DF">
              <w:rPr>
                <w:noProof/>
                <w:szCs w:val="22"/>
                <w:lang w:val="fr-BE"/>
              </w:rPr>
              <w:t>2.1. Dans quelle mesure la conception globale de l'action est-elle cohérente ? La proposition indique-t-elle les résultats attendus de l'action ? La logique d'intervention explique-t-elle la logique pour atteindre les résultats attendus ?</w:t>
            </w:r>
            <w:r w:rsidRPr="005B64DF">
              <w:rPr>
                <w:szCs w:val="22"/>
                <w:lang w:val="fr-BE"/>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08B66A7" w14:textId="77777777" w:rsidR="00A6547C" w:rsidRPr="005B64DF" w:rsidRDefault="00A6547C" w:rsidP="00A6547C">
            <w:pPr>
              <w:snapToGrid w:val="0"/>
              <w:spacing w:before="120" w:after="120"/>
              <w:rPr>
                <w:szCs w:val="22"/>
                <w:u w:val="single"/>
                <w:lang w:val="en-US"/>
              </w:rPr>
            </w:pPr>
            <w:r w:rsidRPr="005B64DF">
              <w:rPr>
                <w:noProof/>
                <w:szCs w:val="22"/>
                <w:lang w:val="en-US"/>
              </w:rPr>
              <w:t>5x2**</w:t>
            </w:r>
          </w:p>
        </w:tc>
      </w:tr>
      <w:tr w:rsidR="00A6547C" w:rsidRPr="005B64DF" w14:paraId="08B22004"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6B50A6F6" w14:textId="77777777" w:rsidR="00A6547C" w:rsidRPr="005B64DF" w:rsidRDefault="00A6547C" w:rsidP="00A6547C">
            <w:pPr>
              <w:snapToGrid w:val="0"/>
              <w:spacing w:before="120" w:after="120"/>
              <w:rPr>
                <w:szCs w:val="22"/>
                <w:lang w:val="fr-BE"/>
              </w:rPr>
            </w:pPr>
            <w:r w:rsidRPr="005B64DF">
              <w:rPr>
                <w:noProof/>
                <w:szCs w:val="22"/>
                <w:lang w:val="fr-BE"/>
              </w:rPr>
              <w:lastRenderedPageBreak/>
              <w:t>2.2. La conception reflète-t-elle une analyse robuste des problèmes en jeu et des capacités des parties prenantes concernées ?</w:t>
            </w:r>
            <w:r w:rsidRPr="005B64DF">
              <w:rPr>
                <w:szCs w:val="22"/>
                <w:lang w:val="fr-BE"/>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10222355"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21316482"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3482EC68" w14:textId="77777777" w:rsidR="00A6547C" w:rsidRPr="005B64DF" w:rsidRDefault="00A6547C" w:rsidP="00A6547C">
            <w:pPr>
              <w:snapToGrid w:val="0"/>
              <w:spacing w:before="120" w:after="120"/>
              <w:rPr>
                <w:szCs w:val="22"/>
                <w:lang w:val="fr-BE"/>
              </w:rPr>
            </w:pPr>
            <w:r w:rsidRPr="005B64DF">
              <w:rPr>
                <w:noProof/>
                <w:szCs w:val="22"/>
                <w:lang w:val="fr-BE"/>
              </w:rPr>
              <w:t>2.3. La conception prend-elle en compte des facteurs externes (risques et hypothèses) ?</w:t>
            </w:r>
            <w:r w:rsidRPr="005B64DF">
              <w:rPr>
                <w:szCs w:val="22"/>
                <w:lang w:val="fr-BE"/>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1DB4190A"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1D8840FF"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7EE99AD3" w14:textId="77777777" w:rsidR="00A6547C" w:rsidRPr="005B64DF" w:rsidRDefault="00A6547C" w:rsidP="00A6547C">
            <w:pPr>
              <w:snapToGrid w:val="0"/>
              <w:spacing w:before="120" w:after="120"/>
              <w:rPr>
                <w:szCs w:val="22"/>
                <w:lang w:val="en-US"/>
              </w:rPr>
            </w:pPr>
            <w:r w:rsidRPr="005B64DF">
              <w:rPr>
                <w:noProof/>
                <w:szCs w:val="22"/>
                <w:lang w:val="fr-BE"/>
              </w:rPr>
              <w:t xml:space="preserve">2.4. Les activités sont-elles réalisables et cohérentes par rapport aux résultats attendus (y compris les délais) ? </w:t>
            </w:r>
            <w:r w:rsidRPr="005B64DF">
              <w:rPr>
                <w:noProof/>
                <w:szCs w:val="22"/>
                <w:lang w:val="en-US"/>
              </w:rPr>
              <w:t>Les résultats (produit, résultats et impact) sont-ils réalistes ?</w:t>
            </w:r>
            <w:r w:rsidRPr="005B64DF">
              <w:rPr>
                <w:szCs w:val="22"/>
                <w:lang w:val="en-US"/>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2E59B6B"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727E4D84"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0F324A69" w14:textId="77777777" w:rsidR="00A6547C" w:rsidRPr="005B64DF" w:rsidRDefault="00A6547C" w:rsidP="00A6547C">
            <w:pPr>
              <w:snapToGrid w:val="0"/>
              <w:spacing w:before="120" w:after="120"/>
              <w:rPr>
                <w:szCs w:val="22"/>
                <w:lang w:val="fr-BE"/>
              </w:rPr>
            </w:pPr>
            <w:r w:rsidRPr="005B64DF">
              <w:rPr>
                <w:noProof/>
                <w:szCs w:val="22"/>
                <w:lang w:val="fr-BE"/>
              </w:rPr>
              <w:t>2.5. Dans quelle mesure la proposition intègre-t-elle des éléments transversaux pertinents tels que les questions environnementales / climatiques, la promotion de l'égalité des sexes et l'égalité des chances, besoin des personnes handycapées, les droits des minorités, les droits des peuples autochtones, la lutte contre le VIH / SIDA ? il y a une forte prévalence dans le pays / la région cible) ?</w:t>
            </w:r>
            <w:r w:rsidRPr="005B64DF">
              <w:rPr>
                <w:szCs w:val="22"/>
                <w:lang w:val="fr-BE"/>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175D5478" w14:textId="77777777" w:rsidR="00A6547C" w:rsidRPr="005B64DF" w:rsidRDefault="00A6547C" w:rsidP="00A6547C">
            <w:pPr>
              <w:snapToGrid w:val="0"/>
              <w:spacing w:before="120" w:after="120"/>
              <w:rPr>
                <w:szCs w:val="22"/>
                <w:u w:val="single"/>
                <w:lang w:val="en-US"/>
              </w:rPr>
            </w:pPr>
            <w:r w:rsidRPr="005B64DF">
              <w:rPr>
                <w:noProof/>
                <w:szCs w:val="22"/>
                <w:lang w:val="en-US"/>
              </w:rPr>
              <w:t>5</w:t>
            </w:r>
          </w:p>
        </w:tc>
      </w:tr>
      <w:tr w:rsidR="00A6547C" w:rsidRPr="005B64DF" w14:paraId="269DC27A" w14:textId="77777777" w:rsidTr="00A6547C">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14:paraId="7270BD8E" w14:textId="77777777" w:rsidR="00A6547C" w:rsidRPr="005B64DF" w:rsidRDefault="00A6547C" w:rsidP="00DF6F65">
            <w:pPr>
              <w:jc w:val="left"/>
              <w:rPr>
                <w:szCs w:val="22"/>
              </w:rPr>
            </w:pPr>
            <w:r w:rsidRPr="005B64DF">
              <w:rPr>
                <w:b/>
                <w:szCs w:val="22"/>
              </w:rPr>
              <w:t>Note totale maximale</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6A24F37C" w14:textId="77777777" w:rsidR="00A6547C" w:rsidRPr="005B64DF" w:rsidRDefault="00A6547C" w:rsidP="00A6547C">
            <w:pPr>
              <w:keepNext/>
              <w:spacing w:before="120" w:after="120"/>
              <w:jc w:val="center"/>
              <w:rPr>
                <w:szCs w:val="22"/>
              </w:rPr>
            </w:pPr>
            <w:r w:rsidRPr="005B64DF">
              <w:rPr>
                <w:b/>
                <w:noProof/>
                <w:szCs w:val="22"/>
              </w:rPr>
              <w:t>50</w:t>
            </w:r>
          </w:p>
        </w:tc>
      </w:tr>
    </w:tbl>
    <w:p w14:paraId="0D3A816A" w14:textId="77777777" w:rsidR="005240D9" w:rsidRPr="005B64DF" w:rsidRDefault="005B7EA6" w:rsidP="00A6547C">
      <w:pPr>
        <w:pStyle w:val="Caption"/>
        <w:rPr>
          <w:sz w:val="22"/>
          <w:szCs w:val="22"/>
        </w:rPr>
      </w:pPr>
      <w:r w:rsidRPr="005B64DF">
        <w:rPr>
          <w:sz w:val="22"/>
          <w:szCs w:val="22"/>
        </w:rPr>
        <w:t>**: cette note est multipliée par 2 en raison de son importance.</w:t>
      </w:r>
    </w:p>
    <w:p w14:paraId="188370BD" w14:textId="77777777" w:rsidR="00682B40" w:rsidRPr="005B64DF" w:rsidRDefault="008A134D" w:rsidP="006F280A">
      <w:pPr>
        <w:rPr>
          <w:szCs w:val="22"/>
        </w:rPr>
      </w:pPr>
      <w:r w:rsidRPr="005B64DF">
        <w:rPr>
          <w:szCs w:val="22"/>
        </w:rPr>
        <w:t xml:space="preserve">Remarque: une note de 5 (très bon) ne sera attribuée que si la proposition aborde spécifiquement </w:t>
      </w:r>
      <w:r w:rsidRPr="005B64DF">
        <w:rPr>
          <w:bCs/>
          <w:szCs w:val="22"/>
        </w:rPr>
        <w:t>plus que le nombre minimum requis de priorités telles que mentionnées à la section 1.2 (objectifs du programme) des présentes lignes directrices.</w:t>
      </w:r>
    </w:p>
    <w:p w14:paraId="0588C31A" w14:textId="77777777" w:rsidR="00400B42" w:rsidRPr="005B64DF" w:rsidRDefault="00400B42" w:rsidP="006F280A">
      <w:pPr>
        <w:rPr>
          <w:szCs w:val="22"/>
        </w:rPr>
      </w:pPr>
      <w:r w:rsidRPr="005B64DF">
        <w:rPr>
          <w:szCs w:val="22"/>
        </w:rPr>
        <w:t xml:space="preserve">Une fois toutes les notes succinctes de présentation évaluées, une liste sera établie, classant les actions proposées selon leur note totale. </w:t>
      </w:r>
    </w:p>
    <w:p w14:paraId="6AB17803" w14:textId="77777777" w:rsidR="00400B42" w:rsidRPr="005B64DF" w:rsidRDefault="001A4F8E" w:rsidP="006F280A">
      <w:pPr>
        <w:rPr>
          <w:szCs w:val="22"/>
        </w:rPr>
      </w:pPr>
      <w:r w:rsidRPr="005B64DF">
        <w:rPr>
          <w:szCs w:val="22"/>
        </w:rPr>
        <w:t xml:space="preserve">Dans un premier temps, seules les notes succinctes de présentation ayant obtenu au moins </w:t>
      </w:r>
      <w:r w:rsidR="00DF7723" w:rsidRPr="005B64DF">
        <w:rPr>
          <w:szCs w:val="22"/>
        </w:rPr>
        <w:t>30</w:t>
      </w:r>
      <w:r w:rsidRPr="005B64DF">
        <w:rPr>
          <w:szCs w:val="22"/>
        </w:rPr>
        <w:t xml:space="preserve"> points sont retenues pour la présélection. </w:t>
      </w:r>
    </w:p>
    <w:p w14:paraId="3555F471" w14:textId="77777777" w:rsidR="00806B63" w:rsidRPr="005B64DF" w:rsidRDefault="00806B63" w:rsidP="006F280A">
      <w:pPr>
        <w:rPr>
          <w:szCs w:val="22"/>
        </w:rPr>
      </w:pPr>
      <w:r w:rsidRPr="005B64DF">
        <w:rPr>
          <w:szCs w:val="22"/>
        </w:rPr>
        <w:t>Dans un second temps, le nombre de notes succinctes de présentation est réduit, sur la base de leur classement dans la liste, au nombre de notes succinctes de présentation dont le montant cumulé total des contributions demandées est égal à 200 % du budget disponible pour le présent appel à propositions. Le montant des contributions demandées pour chaque note succincte de présentation sera basé sur les enveloppes financières indicatives prévues pour chaque lot, le cas échéant.</w:t>
      </w:r>
    </w:p>
    <w:p w14:paraId="3D8F555D" w14:textId="77777777" w:rsidR="004458CA" w:rsidRPr="005B64DF" w:rsidRDefault="004458CA" w:rsidP="004458CA">
      <w:pPr>
        <w:rPr>
          <w:szCs w:val="22"/>
        </w:rPr>
      </w:pPr>
      <w:r w:rsidRPr="005B64DF">
        <w:rPr>
          <w:szCs w:val="22"/>
        </w:rPr>
        <w:t xml:space="preserve">Les demandeurs chefs de file recevront une lettre indiquant le numéro de référence de leur demande et les résultats respectifs. Cette lettre apparaîtra automatiquement en ligne sur le profil PROSPECT du demandeur principal. </w:t>
      </w:r>
    </w:p>
    <w:p w14:paraId="3ECAA11C" w14:textId="77777777" w:rsidR="00400B42" w:rsidRPr="005B64DF" w:rsidRDefault="004458CA" w:rsidP="004458CA">
      <w:pPr>
        <w:rPr>
          <w:szCs w:val="22"/>
        </w:rPr>
      </w:pPr>
      <w:r w:rsidRPr="005B64DF">
        <w:rPr>
          <w:szCs w:val="22"/>
        </w:rPr>
        <w:t>Les demandeurs chefs de file présélectionnés seront ensuite invités à soumettre une demande complète.</w:t>
      </w:r>
    </w:p>
    <w:p w14:paraId="7E937E38" w14:textId="77777777" w:rsidR="007A3169" w:rsidRPr="005B64DF" w:rsidRDefault="00267E4F" w:rsidP="00575041">
      <w:pPr>
        <w:numPr>
          <w:ilvl w:val="0"/>
          <w:numId w:val="28"/>
        </w:numPr>
        <w:spacing w:before="240"/>
        <w:ind w:left="357" w:hanging="357"/>
        <w:jc w:val="left"/>
        <w:rPr>
          <w:b/>
          <w:szCs w:val="22"/>
        </w:rPr>
      </w:pPr>
      <w:r w:rsidRPr="005B64DF">
        <w:rPr>
          <w:szCs w:val="22"/>
        </w:rPr>
        <w:br w:type="page"/>
      </w:r>
      <w:r w:rsidRPr="005B64DF">
        <w:rPr>
          <w:b/>
          <w:szCs w:val="22"/>
        </w:rPr>
        <w:lastRenderedPageBreak/>
        <w:t xml:space="preserve">ÉTAPE 2: ÉVALUATION DE LA DEMANDE COMPLÈTE </w:t>
      </w:r>
    </w:p>
    <w:p w14:paraId="7B5E1C62" w14:textId="77777777" w:rsidR="00047C7D" w:rsidRPr="005B64DF" w:rsidRDefault="00047C7D" w:rsidP="006F280A">
      <w:pPr>
        <w:rPr>
          <w:szCs w:val="22"/>
        </w:rPr>
      </w:pPr>
      <w:r w:rsidRPr="005B64DF">
        <w:rPr>
          <w:szCs w:val="22"/>
        </w:rPr>
        <w:t>En premier lieu, les points suivants sont évalués:</w:t>
      </w:r>
    </w:p>
    <w:p w14:paraId="6473C71F" w14:textId="77777777" w:rsidR="00047C7D" w:rsidRPr="005B64DF" w:rsidRDefault="00606AF7" w:rsidP="00575041">
      <w:pPr>
        <w:numPr>
          <w:ilvl w:val="0"/>
          <w:numId w:val="30"/>
        </w:numPr>
        <w:rPr>
          <w:szCs w:val="22"/>
        </w:rPr>
      </w:pPr>
      <w:r w:rsidRPr="005B64DF">
        <w:rPr>
          <w:szCs w:val="22"/>
        </w:rPr>
        <w:t>respect de la date limite de soumission. À défaut, la demande sera automatiquement rejetée;</w:t>
      </w:r>
    </w:p>
    <w:p w14:paraId="48AAE347" w14:textId="77777777" w:rsidR="00047C7D" w:rsidRPr="005B64DF" w:rsidRDefault="00606AF7" w:rsidP="00575041">
      <w:pPr>
        <w:numPr>
          <w:ilvl w:val="0"/>
          <w:numId w:val="30"/>
        </w:numPr>
        <w:rPr>
          <w:szCs w:val="22"/>
        </w:rPr>
      </w:pPr>
      <w:r w:rsidRPr="005B64DF">
        <w:rPr>
          <w:szCs w:val="22"/>
        </w:rPr>
        <w:t>respect, par la demande complète, de tous les critères spécifiés dans la liste de contrôle (annexe A.2, Instructions). Cette évaluation comprend également une appréciation</w:t>
      </w:r>
      <w:r w:rsidR="007179DD" w:rsidRPr="005B64DF">
        <w:rPr>
          <w:szCs w:val="22"/>
        </w:rPr>
        <w:t xml:space="preserve"> de l’éligibilité de l’action. </w:t>
      </w:r>
      <w:r w:rsidRPr="005B64DF">
        <w:rPr>
          <w:szCs w:val="22"/>
        </w:rPr>
        <w:t xml:space="preserve">Si l’une des informations demandées manque ou est incorrecte, la demande peut être rejetée pour ce </w:t>
      </w:r>
      <w:r w:rsidRPr="005B64DF">
        <w:rPr>
          <w:b/>
          <w:szCs w:val="22"/>
          <w:u w:val="single"/>
        </w:rPr>
        <w:t>seul</w:t>
      </w:r>
      <w:r w:rsidRPr="005B64DF">
        <w:rPr>
          <w:szCs w:val="22"/>
        </w:rPr>
        <w:t xml:space="preserve"> motif et elle ne sera pas évaluée plus avant.</w:t>
      </w:r>
    </w:p>
    <w:p w14:paraId="5EDDEDA9" w14:textId="77777777" w:rsidR="0007408E" w:rsidRPr="005B64DF" w:rsidRDefault="0086780C" w:rsidP="006F280A">
      <w:pPr>
        <w:rPr>
          <w:szCs w:val="22"/>
        </w:rPr>
      </w:pPr>
      <w:r w:rsidRPr="005B64DF">
        <w:rPr>
          <w:szCs w:val="22"/>
        </w:rPr>
        <w:t>Les demandes complètes qui passent ce contrôle avec succès sont ensuite évaluées au regard de leur qualité, y compris en ce qui concerne le budget proposé et la capacité des demandeurs et de l’entité ou des entités affiliées, sur la base des critères d’évaluation de la grille d’évaluation reproduite ci-après. Il existe deux types de critères d’évaluation: les critères de sélection et les critères d’attribution.</w:t>
      </w:r>
    </w:p>
    <w:p w14:paraId="02F3688E" w14:textId="77777777" w:rsidR="0007408E" w:rsidRPr="005B64DF" w:rsidRDefault="0007408E" w:rsidP="006F280A">
      <w:pPr>
        <w:rPr>
          <w:szCs w:val="22"/>
        </w:rPr>
      </w:pPr>
      <w:r w:rsidRPr="005B64DF">
        <w:rPr>
          <w:szCs w:val="22"/>
        </w:rPr>
        <w:t xml:space="preserve">Les </w:t>
      </w:r>
      <w:r w:rsidRPr="005B64DF">
        <w:rPr>
          <w:b/>
          <w:szCs w:val="22"/>
          <w:u w:val="single"/>
        </w:rPr>
        <w:t>critères de sélection</w:t>
      </w:r>
      <w:r w:rsidRPr="005B64DF">
        <w:rPr>
          <w:szCs w:val="22"/>
        </w:rPr>
        <w:t xml:space="preserve"> aident à évaluer la capacité opérationnelle du/des demandeur(s) et de l’entité/des entités affiliée(s) et la capacité financière du demandeur chef de file et à s’assurer qu’ils:</w:t>
      </w:r>
    </w:p>
    <w:p w14:paraId="4EFEC23D" w14:textId="77777777" w:rsidR="0007408E" w:rsidRPr="005B64DF" w:rsidRDefault="0007408E" w:rsidP="00575041">
      <w:pPr>
        <w:numPr>
          <w:ilvl w:val="0"/>
          <w:numId w:val="31"/>
        </w:numPr>
        <w:rPr>
          <w:szCs w:val="22"/>
        </w:rPr>
      </w:pPr>
      <w:r w:rsidRPr="005B64DF">
        <w:rPr>
          <w:szCs w:val="22"/>
        </w:rPr>
        <w:t>disposent de sources de financement stables et suffisantes pour maintenir leur activité tout au long de l’action proposée et, si nécessaire, pour participer à son financement (concerne uniquement les demandeurs chefs de file);</w:t>
      </w:r>
    </w:p>
    <w:p w14:paraId="1E6E6FE9" w14:textId="77777777" w:rsidR="0007408E" w:rsidRPr="005B64DF" w:rsidRDefault="0007408E" w:rsidP="00575041">
      <w:pPr>
        <w:numPr>
          <w:ilvl w:val="0"/>
          <w:numId w:val="31"/>
        </w:numPr>
        <w:rPr>
          <w:szCs w:val="22"/>
        </w:rPr>
      </w:pPr>
      <w:r w:rsidRPr="005B64DF">
        <w:rPr>
          <w:szCs w:val="22"/>
        </w:rPr>
        <w:t>disposent de la capacité de gestion et des compétences et qualifications professionnelles requises pour mener à bien l’action proposée. Ceci s’applique aux demandeurs et à l’entité/aux entités affiliée(s).</w:t>
      </w:r>
    </w:p>
    <w:p w14:paraId="0DC80EA5" w14:textId="77777777" w:rsidR="00CA310C" w:rsidRPr="005B64DF" w:rsidRDefault="00CA310C" w:rsidP="00CA310C">
      <w:pPr>
        <w:rPr>
          <w:szCs w:val="22"/>
        </w:rPr>
      </w:pPr>
      <w:bookmarkStart w:id="77" w:name="_Hlk522123628"/>
      <w:r w:rsidRPr="005B64DF">
        <w:rPr>
          <w:szCs w:val="22"/>
        </w:rPr>
        <w:t>Aux fins de l’évaluation de la capacité financière, les demandeurs chefs de file doivent veiller à ce que les informations et documents pertinents (comptes annuels relatifs au dernier exercice et rapport d’audit externe, s’il y a lieu) sont à jour dans leur profil PADOR ou lorsqu’ils joignent les documents demandés au formulaire d’enregistrement PADOR. Si les informations et documents demandés sont désuets pour une évaluation adéquate de la capacité financière, la demande peut être rejetée.</w:t>
      </w:r>
      <w:bookmarkEnd w:id="77"/>
    </w:p>
    <w:p w14:paraId="4EE690FB" w14:textId="77777777" w:rsidR="0007408E" w:rsidRPr="005B64DF" w:rsidRDefault="0007408E" w:rsidP="006F280A">
      <w:pPr>
        <w:rPr>
          <w:szCs w:val="22"/>
        </w:rPr>
      </w:pPr>
      <w:r w:rsidRPr="005B64DF">
        <w:rPr>
          <w:szCs w:val="22"/>
        </w:rPr>
        <w:t xml:space="preserve">Les </w:t>
      </w:r>
      <w:r w:rsidRPr="005B64DF">
        <w:rPr>
          <w:b/>
          <w:szCs w:val="22"/>
          <w:u w:val="single"/>
        </w:rPr>
        <w:t>critères d’attribution</w:t>
      </w:r>
      <w:r w:rsidRPr="005B64DF">
        <w:rPr>
          <w:szCs w:val="22"/>
        </w:rPr>
        <w:t xml:space="preserve"> permettent d’évaluer la qualité des demandes au regard des objectifs et des priorités fixés dans les lignes directrices, et d’octroyer des subventions aux projets qui maximisent l’efficacité globale de l’appel à propositions. Ils aident à sélectionner les demandes dont l’administration contractante peut être sûre qu’elles respecteront ses objectifs et priorités. Ils concernent la pertinence de l’action et sa cohérence avec les objectifs de l’appel à propositions, la qualité, l’effet escompté, la durabilité de l’action ainsi que son efficacité par rapport aux coûts.</w:t>
      </w:r>
    </w:p>
    <w:p w14:paraId="7E54BA22" w14:textId="77777777" w:rsidR="00ED5802" w:rsidRPr="005B64DF" w:rsidRDefault="00ED5802" w:rsidP="006F280A">
      <w:pPr>
        <w:rPr>
          <w:i/>
          <w:szCs w:val="22"/>
        </w:rPr>
      </w:pPr>
      <w:r w:rsidRPr="005B64DF">
        <w:rPr>
          <w:i/>
          <w:szCs w:val="22"/>
        </w:rPr>
        <w:t>Notation:</w:t>
      </w:r>
    </w:p>
    <w:p w14:paraId="13759919" w14:textId="77777777" w:rsidR="00ED5802" w:rsidRPr="005B64DF" w:rsidRDefault="00ED5802" w:rsidP="006F280A">
      <w:pPr>
        <w:rPr>
          <w:szCs w:val="22"/>
        </w:rPr>
      </w:pPr>
      <w:r w:rsidRPr="005B64DF">
        <w:rPr>
          <w:szCs w:val="22"/>
        </w:rPr>
        <w:t xml:space="preserve">Les critères d’évaluation sont classés en sections et sous-sections. Chaque sous-rubrique se voit attribuer une note comprise entre 1 et 5 comme suit: 1 = très faible; 2 = faible; 3 = satisfaisant; 4 = bon; 5 = très bon. </w:t>
      </w:r>
    </w:p>
    <w:p w14:paraId="217F198B" w14:textId="77777777" w:rsidR="0007408E" w:rsidRPr="005B64DF" w:rsidRDefault="004B7BC2" w:rsidP="006F280A">
      <w:pPr>
        <w:rPr>
          <w:b/>
          <w:szCs w:val="22"/>
        </w:rPr>
      </w:pPr>
      <w:r w:rsidRPr="005B64DF">
        <w:rPr>
          <w:szCs w:val="22"/>
        </w:rPr>
        <w:br w:type="page"/>
      </w:r>
      <w:r w:rsidRPr="005B64DF">
        <w:rPr>
          <w:b/>
          <w:szCs w:val="22"/>
        </w:rPr>
        <w:lastRenderedPageBreak/>
        <w:t>Grille d’évaluation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7F332A" w:rsidRPr="005B64DF" w14:paraId="41F84A0F" w14:textId="77777777" w:rsidTr="00DF6F65">
        <w:tc>
          <w:tcPr>
            <w:tcW w:w="8472" w:type="dxa"/>
            <w:vAlign w:val="center"/>
          </w:tcPr>
          <w:p w14:paraId="2403AB96" w14:textId="77777777" w:rsidR="007F332A" w:rsidRPr="005B64DF" w:rsidRDefault="007F332A" w:rsidP="00DF6F65">
            <w:pPr>
              <w:rPr>
                <w:b/>
                <w:szCs w:val="22"/>
              </w:rPr>
            </w:pPr>
            <w:r w:rsidRPr="005B64DF">
              <w:rPr>
                <w:b/>
                <w:szCs w:val="22"/>
              </w:rPr>
              <w:t>Section</w:t>
            </w:r>
          </w:p>
        </w:tc>
        <w:tc>
          <w:tcPr>
            <w:tcW w:w="1275" w:type="dxa"/>
            <w:vAlign w:val="center"/>
          </w:tcPr>
          <w:p w14:paraId="3BDA54E9" w14:textId="77777777" w:rsidR="007F332A" w:rsidRPr="005B64DF" w:rsidRDefault="007F332A" w:rsidP="00DF6F65">
            <w:pPr>
              <w:jc w:val="center"/>
              <w:rPr>
                <w:b/>
                <w:szCs w:val="22"/>
              </w:rPr>
            </w:pPr>
            <w:r w:rsidRPr="005B64DF">
              <w:rPr>
                <w:b/>
                <w:szCs w:val="22"/>
              </w:rPr>
              <w:t>Note maximale</w:t>
            </w:r>
          </w:p>
        </w:tc>
      </w:tr>
      <w:tr w:rsidR="007F332A" w:rsidRPr="005B64DF" w14:paraId="6C1E1A6D" w14:textId="77777777" w:rsidTr="00DF6F65">
        <w:tc>
          <w:tcPr>
            <w:tcW w:w="8472" w:type="dxa"/>
            <w:shd w:val="pct10" w:color="auto" w:fill="FFFFFF"/>
            <w:vAlign w:val="center"/>
          </w:tcPr>
          <w:p w14:paraId="6D3DEC00" w14:textId="77777777" w:rsidR="007F332A" w:rsidRPr="005B64DF" w:rsidRDefault="007F332A" w:rsidP="00DF6F65">
            <w:pPr>
              <w:rPr>
                <w:szCs w:val="22"/>
                <w:lang w:val="en-US"/>
              </w:rPr>
            </w:pPr>
            <w:r w:rsidRPr="005B64DF">
              <w:rPr>
                <w:b/>
                <w:szCs w:val="22"/>
                <w:lang w:val="en-US"/>
              </w:rPr>
              <w:t xml:space="preserve">1. </w:t>
            </w:r>
            <w:r w:rsidRPr="005B64DF">
              <w:rPr>
                <w:b/>
                <w:noProof/>
                <w:szCs w:val="22"/>
                <w:lang w:val="en-US"/>
              </w:rPr>
              <w:t>Capacité financière et opérationnelle</w:t>
            </w:r>
          </w:p>
        </w:tc>
        <w:tc>
          <w:tcPr>
            <w:tcW w:w="1275" w:type="dxa"/>
            <w:shd w:val="pct10" w:color="auto" w:fill="FFFFFF"/>
            <w:vAlign w:val="center"/>
          </w:tcPr>
          <w:p w14:paraId="7B93B1EF" w14:textId="77777777" w:rsidR="007F332A" w:rsidRPr="005B64DF" w:rsidRDefault="007F332A" w:rsidP="007F332A">
            <w:pPr>
              <w:spacing w:before="120" w:after="120"/>
              <w:jc w:val="center"/>
              <w:rPr>
                <w:b/>
                <w:szCs w:val="22"/>
              </w:rPr>
            </w:pPr>
            <w:r w:rsidRPr="005B64DF">
              <w:rPr>
                <w:b/>
                <w:noProof/>
                <w:szCs w:val="22"/>
              </w:rPr>
              <w:t>20</w:t>
            </w:r>
          </w:p>
        </w:tc>
      </w:tr>
      <w:tr w:rsidR="007F332A" w:rsidRPr="005B64DF" w14:paraId="5DF889C4" w14:textId="77777777" w:rsidTr="00DF6F65">
        <w:tc>
          <w:tcPr>
            <w:tcW w:w="8472" w:type="dxa"/>
          </w:tcPr>
          <w:p w14:paraId="59E8CA7F" w14:textId="77777777" w:rsidR="007F332A" w:rsidRPr="005B64DF" w:rsidRDefault="007F332A" w:rsidP="007F332A">
            <w:pPr>
              <w:spacing w:before="120" w:after="120"/>
              <w:ind w:left="340" w:hanging="340"/>
              <w:rPr>
                <w:szCs w:val="22"/>
                <w:lang w:val="fr-BE"/>
              </w:rPr>
            </w:pPr>
            <w:r w:rsidRPr="005B64DF">
              <w:rPr>
                <w:noProof/>
                <w:szCs w:val="22"/>
                <w:lang w:val="fr-BE"/>
              </w:rPr>
              <w:t>1.1. Les demandeurs et, le cas échéant, l'/les entité(s) affiliée(s) possèdent-ils une expérience interne suffisante en gestion de projets ?</w:t>
            </w:r>
          </w:p>
        </w:tc>
        <w:tc>
          <w:tcPr>
            <w:tcW w:w="1275" w:type="dxa"/>
          </w:tcPr>
          <w:p w14:paraId="52AD5090"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1BEFB9CB" w14:textId="77777777" w:rsidTr="00DF6F65">
        <w:tc>
          <w:tcPr>
            <w:tcW w:w="8472" w:type="dxa"/>
          </w:tcPr>
          <w:p w14:paraId="22C9FBCC" w14:textId="77777777" w:rsidR="007F332A" w:rsidRPr="005B64DF" w:rsidRDefault="007F332A" w:rsidP="007F332A">
            <w:pPr>
              <w:spacing w:before="120" w:after="120"/>
              <w:ind w:left="340" w:hanging="340"/>
              <w:rPr>
                <w:szCs w:val="22"/>
                <w:lang w:val="fr-BE"/>
              </w:rPr>
            </w:pPr>
            <w:r w:rsidRPr="005B64DF">
              <w:rPr>
                <w:noProof/>
                <w:szCs w:val="22"/>
                <w:lang w:val="fr-BE"/>
              </w:rPr>
              <w:t>1.2. Les demandeurs et, le cas échéant, l'/les entité(s) affiliée(s) possèdent-ils une expertise technique interne suffisante (plus particulièrement, une connaissance des questions/points à traiter) ?</w:t>
            </w:r>
          </w:p>
        </w:tc>
        <w:tc>
          <w:tcPr>
            <w:tcW w:w="1275" w:type="dxa"/>
          </w:tcPr>
          <w:p w14:paraId="39CD818C"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636A61FE" w14:textId="77777777" w:rsidTr="00DF6F65">
        <w:tc>
          <w:tcPr>
            <w:tcW w:w="8472" w:type="dxa"/>
          </w:tcPr>
          <w:p w14:paraId="56B763BB" w14:textId="77777777" w:rsidR="007F332A" w:rsidRPr="005B64DF" w:rsidRDefault="007F332A" w:rsidP="007F332A">
            <w:pPr>
              <w:spacing w:before="120" w:after="120"/>
              <w:ind w:left="340" w:hanging="340"/>
              <w:rPr>
                <w:szCs w:val="22"/>
                <w:lang w:val="fr-BE"/>
              </w:rPr>
            </w:pPr>
            <w:r w:rsidRPr="005B64DF">
              <w:rPr>
                <w:noProof/>
                <w:szCs w:val="22"/>
                <w:lang w:val="fr-BE"/>
              </w:rPr>
              <w:t>1.3. Les demandeurs et, le cas échéant, l'/les entité(s) affiliée(s) possèdent-ils une capacité de gestion interne suffisante (notamment au regard du personnel, des équipements et de la capacité à gérer le budget de l’action) ?</w:t>
            </w:r>
          </w:p>
        </w:tc>
        <w:tc>
          <w:tcPr>
            <w:tcW w:w="1275" w:type="dxa"/>
          </w:tcPr>
          <w:p w14:paraId="5479E59C"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095CE36A" w14:textId="77777777" w:rsidTr="00DF6F65">
        <w:tc>
          <w:tcPr>
            <w:tcW w:w="8472" w:type="dxa"/>
          </w:tcPr>
          <w:p w14:paraId="033E42B1" w14:textId="77777777" w:rsidR="007F332A" w:rsidRPr="005B64DF" w:rsidRDefault="007F332A" w:rsidP="007F332A">
            <w:pPr>
              <w:spacing w:before="120" w:after="120"/>
              <w:ind w:left="340" w:hanging="340"/>
              <w:rPr>
                <w:szCs w:val="22"/>
                <w:lang w:val="fr-BE"/>
              </w:rPr>
            </w:pPr>
            <w:r w:rsidRPr="005B64DF">
              <w:rPr>
                <w:noProof/>
                <w:szCs w:val="22"/>
                <w:lang w:val="fr-BE"/>
              </w:rPr>
              <w:t xml:space="preserve">1.4. Le demandeur principal dispose-t-il de sources de financement stables et suffisantes ? </w:t>
            </w:r>
          </w:p>
        </w:tc>
        <w:tc>
          <w:tcPr>
            <w:tcW w:w="1275" w:type="dxa"/>
          </w:tcPr>
          <w:p w14:paraId="0691259E"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38FDD3A1" w14:textId="77777777" w:rsidTr="00DF6F65">
        <w:tc>
          <w:tcPr>
            <w:tcW w:w="8472" w:type="dxa"/>
            <w:shd w:val="pct10" w:color="auto" w:fill="FFFFFF"/>
            <w:vAlign w:val="center"/>
          </w:tcPr>
          <w:p w14:paraId="4B8D08C7" w14:textId="77777777" w:rsidR="007F332A" w:rsidRPr="005B64DF" w:rsidRDefault="007F332A" w:rsidP="00DF6F65">
            <w:pPr>
              <w:jc w:val="left"/>
              <w:rPr>
                <w:szCs w:val="22"/>
                <w:lang w:val="en-US"/>
              </w:rPr>
            </w:pPr>
            <w:r w:rsidRPr="005B64DF">
              <w:rPr>
                <w:b/>
                <w:szCs w:val="22"/>
                <w:lang w:val="en-US"/>
              </w:rPr>
              <w:t xml:space="preserve">2. </w:t>
            </w:r>
            <w:r w:rsidRPr="005B64DF">
              <w:rPr>
                <w:b/>
                <w:noProof/>
                <w:szCs w:val="22"/>
                <w:lang w:val="en-US"/>
              </w:rPr>
              <w:t>Pertinence de l'action</w:t>
            </w:r>
          </w:p>
        </w:tc>
        <w:tc>
          <w:tcPr>
            <w:tcW w:w="1275" w:type="dxa"/>
            <w:shd w:val="pct10" w:color="auto" w:fill="FFFFFF"/>
            <w:vAlign w:val="center"/>
          </w:tcPr>
          <w:p w14:paraId="7C969C79" w14:textId="77777777" w:rsidR="007F332A" w:rsidRPr="005B64DF" w:rsidRDefault="007F332A" w:rsidP="007F332A">
            <w:pPr>
              <w:spacing w:before="120" w:after="120"/>
              <w:jc w:val="center"/>
              <w:rPr>
                <w:b/>
                <w:szCs w:val="22"/>
              </w:rPr>
            </w:pPr>
            <w:r w:rsidRPr="005B64DF">
              <w:rPr>
                <w:b/>
                <w:noProof/>
                <w:szCs w:val="22"/>
              </w:rPr>
              <w:t>20</w:t>
            </w:r>
          </w:p>
        </w:tc>
      </w:tr>
      <w:tr w:rsidR="007F332A" w:rsidRPr="005B64DF" w14:paraId="04C0295B" w14:textId="77777777" w:rsidTr="00DF6F65">
        <w:tc>
          <w:tcPr>
            <w:tcW w:w="8472" w:type="dxa"/>
            <w:shd w:val="clear" w:color="auto" w:fill="FFFFFF"/>
          </w:tcPr>
          <w:p w14:paraId="7CACA31F" w14:textId="77777777" w:rsidR="007F332A" w:rsidRPr="005B64DF" w:rsidRDefault="007F332A" w:rsidP="007F332A">
            <w:pPr>
              <w:spacing w:before="120" w:after="120"/>
              <w:rPr>
                <w:i/>
                <w:szCs w:val="22"/>
                <w:lang w:val="fr-BE"/>
              </w:rPr>
            </w:pPr>
            <w:r w:rsidRPr="005B64DF">
              <w:rPr>
                <w:noProof/>
                <w:szCs w:val="22"/>
                <w:lang w:val="fr-BE"/>
              </w:rPr>
              <w:t>2.1. Dans quelle mesure la proposition est-elle pertinente par rapport aux objectifs et aux priorités de l'appel à propositions et aux thèmes / secteurs / domaines spécifiques ou à toute autre exigence spécifique énoncée dans les lignes directrices à l'intention des candidats ? Les résultats attendus de l'action sont-ils alignés sur les priorités définies dans les lignes directrices à l'intention des demandeurs (section 1.2) ?</w:t>
            </w:r>
          </w:p>
        </w:tc>
        <w:tc>
          <w:tcPr>
            <w:tcW w:w="1275" w:type="dxa"/>
            <w:shd w:val="clear" w:color="auto" w:fill="FFFFFF"/>
            <w:vAlign w:val="center"/>
          </w:tcPr>
          <w:p w14:paraId="05FAE216" w14:textId="77777777" w:rsidR="007F332A" w:rsidRPr="005B64DF" w:rsidRDefault="007F332A" w:rsidP="007F332A">
            <w:pPr>
              <w:spacing w:before="120" w:after="120"/>
              <w:jc w:val="center"/>
              <w:rPr>
                <w:b/>
                <w:szCs w:val="22"/>
                <w:lang w:val="en-US"/>
              </w:rPr>
            </w:pPr>
            <w:r w:rsidRPr="005B64DF">
              <w:rPr>
                <w:noProof/>
                <w:szCs w:val="22"/>
                <w:lang w:val="en-US"/>
              </w:rPr>
              <w:t>5</w:t>
            </w:r>
          </w:p>
        </w:tc>
      </w:tr>
      <w:tr w:rsidR="007F332A" w:rsidRPr="005B64DF" w14:paraId="5AEDE5EE" w14:textId="77777777" w:rsidTr="00DF6F65">
        <w:tc>
          <w:tcPr>
            <w:tcW w:w="8472" w:type="dxa"/>
            <w:shd w:val="clear" w:color="auto" w:fill="FFFFFF"/>
          </w:tcPr>
          <w:p w14:paraId="5AFF46D9" w14:textId="77777777" w:rsidR="007F332A" w:rsidRPr="005B64DF" w:rsidRDefault="007F332A" w:rsidP="007F332A">
            <w:pPr>
              <w:spacing w:before="120" w:after="120"/>
              <w:rPr>
                <w:i/>
                <w:szCs w:val="22"/>
                <w:lang w:val="fr-BE"/>
              </w:rPr>
            </w:pPr>
            <w:r w:rsidRPr="005B64DF">
              <w:rPr>
                <w:noProof/>
                <w:szCs w:val="22"/>
                <w:lang w:val="fr-BE"/>
              </w:rPr>
              <w:t>2.2. Dans quelle mesure la proposition est-elle pertinente par rapport aux besoins et contraintes spécifiques du (des) pays, région (s) et / ou secteur (s) cible (s) (y compris la synergie avec d'autres initiatives de développement et absence de double emploi) ?</w:t>
            </w:r>
          </w:p>
        </w:tc>
        <w:tc>
          <w:tcPr>
            <w:tcW w:w="1275" w:type="dxa"/>
            <w:shd w:val="clear" w:color="auto" w:fill="FFFFFF"/>
            <w:vAlign w:val="center"/>
          </w:tcPr>
          <w:p w14:paraId="0E4DD4EB" w14:textId="77777777" w:rsidR="007F332A" w:rsidRPr="005B64DF" w:rsidRDefault="007F332A" w:rsidP="007F332A">
            <w:pPr>
              <w:spacing w:before="120" w:after="120"/>
              <w:jc w:val="center"/>
              <w:rPr>
                <w:b/>
                <w:szCs w:val="22"/>
                <w:lang w:val="en-US"/>
              </w:rPr>
            </w:pPr>
            <w:r w:rsidRPr="005B64DF">
              <w:rPr>
                <w:noProof/>
                <w:szCs w:val="22"/>
                <w:lang w:val="en-US"/>
              </w:rPr>
              <w:t>5</w:t>
            </w:r>
          </w:p>
        </w:tc>
      </w:tr>
      <w:tr w:rsidR="007F332A" w:rsidRPr="005B64DF" w14:paraId="7FCE25DB" w14:textId="77777777" w:rsidTr="00DF6F65">
        <w:tc>
          <w:tcPr>
            <w:tcW w:w="8472" w:type="dxa"/>
            <w:shd w:val="clear" w:color="auto" w:fill="FFFFFF"/>
          </w:tcPr>
          <w:p w14:paraId="739ABBE4" w14:textId="77777777" w:rsidR="007F332A" w:rsidRPr="005B64DF" w:rsidRDefault="007F332A" w:rsidP="007F332A">
            <w:pPr>
              <w:spacing w:before="120" w:after="120"/>
              <w:rPr>
                <w:i/>
                <w:szCs w:val="22"/>
                <w:lang w:val="fr-BE"/>
              </w:rPr>
            </w:pPr>
            <w:r w:rsidRPr="005B64DF">
              <w:rPr>
                <w:noProof/>
                <w:szCs w:val="22"/>
                <w:lang w:val="fr-BE"/>
              </w:rPr>
              <w:t>2.3. Dans quelle mesure les parties impliquées (bénéficiaires finaux, groupes cibles) sont-elles clairement définies et choisies stratégiquement? Leurs besoins (en tant que titulaires de droits et / ou détenteurs d'obligations) et leurs contraintes ont-ils été clairement définis et la proposition les traite-t-elle de manière appropriée ?</w:t>
            </w:r>
          </w:p>
        </w:tc>
        <w:tc>
          <w:tcPr>
            <w:tcW w:w="1275" w:type="dxa"/>
            <w:shd w:val="clear" w:color="auto" w:fill="FFFFFF"/>
            <w:vAlign w:val="center"/>
          </w:tcPr>
          <w:p w14:paraId="12271144" w14:textId="77777777" w:rsidR="007F332A" w:rsidRPr="005B64DF" w:rsidRDefault="007F332A" w:rsidP="007F332A">
            <w:pPr>
              <w:spacing w:before="120" w:after="120"/>
              <w:jc w:val="center"/>
              <w:rPr>
                <w:b/>
                <w:szCs w:val="22"/>
                <w:lang w:val="en-US"/>
              </w:rPr>
            </w:pPr>
            <w:r w:rsidRPr="005B64DF">
              <w:rPr>
                <w:noProof/>
                <w:szCs w:val="22"/>
                <w:lang w:val="en-US"/>
              </w:rPr>
              <w:t>5</w:t>
            </w:r>
          </w:p>
        </w:tc>
      </w:tr>
      <w:tr w:rsidR="007F332A" w:rsidRPr="005B64DF" w14:paraId="31D5B934" w14:textId="77777777" w:rsidTr="00DF6F65">
        <w:tc>
          <w:tcPr>
            <w:tcW w:w="8472" w:type="dxa"/>
            <w:shd w:val="clear" w:color="auto" w:fill="FFFFFF"/>
          </w:tcPr>
          <w:p w14:paraId="228F3FB1" w14:textId="77777777" w:rsidR="007F332A" w:rsidRPr="005B64DF" w:rsidRDefault="007F332A" w:rsidP="007F332A">
            <w:pPr>
              <w:spacing w:before="120" w:after="120"/>
              <w:rPr>
                <w:i/>
                <w:szCs w:val="22"/>
                <w:lang w:val="fr-BE"/>
              </w:rPr>
            </w:pPr>
            <w:r w:rsidRPr="005B64DF">
              <w:rPr>
                <w:noProof/>
                <w:szCs w:val="22"/>
                <w:lang w:val="fr-BE"/>
              </w:rPr>
              <w:t>2.4. La proposition contient-elle des éléments particuliers à valeur ajoutée (par exemple, innovation, meilleures pratiques) ? [et les autres éléments supplémentaires indiqués sous 1.2. des lignes directrices pour les demandeurs]</w:t>
            </w:r>
          </w:p>
        </w:tc>
        <w:tc>
          <w:tcPr>
            <w:tcW w:w="1275" w:type="dxa"/>
            <w:shd w:val="clear" w:color="auto" w:fill="FFFFFF"/>
            <w:vAlign w:val="center"/>
          </w:tcPr>
          <w:p w14:paraId="6C8B29F6" w14:textId="77777777" w:rsidR="007F332A" w:rsidRPr="005B64DF" w:rsidRDefault="007F332A" w:rsidP="007F332A">
            <w:pPr>
              <w:spacing w:before="120" w:after="120"/>
              <w:jc w:val="center"/>
              <w:rPr>
                <w:b/>
                <w:szCs w:val="22"/>
                <w:lang w:val="en-US"/>
              </w:rPr>
            </w:pPr>
            <w:r w:rsidRPr="005B64DF">
              <w:rPr>
                <w:noProof/>
                <w:szCs w:val="22"/>
                <w:lang w:val="en-US"/>
              </w:rPr>
              <w:t>5</w:t>
            </w:r>
          </w:p>
        </w:tc>
      </w:tr>
      <w:tr w:rsidR="007F332A" w:rsidRPr="005B64DF" w14:paraId="45FBC309" w14:textId="77777777" w:rsidTr="00DF6F65">
        <w:tc>
          <w:tcPr>
            <w:tcW w:w="8472" w:type="dxa"/>
            <w:shd w:val="pct10" w:color="auto" w:fill="FFFFFF"/>
            <w:vAlign w:val="center"/>
          </w:tcPr>
          <w:p w14:paraId="6F2EDD06" w14:textId="77777777" w:rsidR="007F332A" w:rsidRPr="005B64DF" w:rsidRDefault="007F332A" w:rsidP="00DF6F65">
            <w:pPr>
              <w:rPr>
                <w:szCs w:val="22"/>
                <w:lang w:val="en-US"/>
              </w:rPr>
            </w:pPr>
            <w:r w:rsidRPr="005B64DF">
              <w:rPr>
                <w:b/>
                <w:szCs w:val="22"/>
                <w:lang w:val="en-US"/>
              </w:rPr>
              <w:t xml:space="preserve">3. </w:t>
            </w:r>
            <w:r w:rsidRPr="005B64DF">
              <w:rPr>
                <w:b/>
                <w:noProof/>
                <w:szCs w:val="22"/>
                <w:lang w:val="en-US"/>
              </w:rPr>
              <w:t>Conception de l'action</w:t>
            </w:r>
          </w:p>
        </w:tc>
        <w:tc>
          <w:tcPr>
            <w:tcW w:w="1275" w:type="dxa"/>
            <w:shd w:val="pct10" w:color="auto" w:fill="FFFFFF"/>
            <w:vAlign w:val="center"/>
          </w:tcPr>
          <w:p w14:paraId="73E226EA" w14:textId="77777777" w:rsidR="007F332A" w:rsidRPr="005B64DF" w:rsidRDefault="007F332A" w:rsidP="007F332A">
            <w:pPr>
              <w:spacing w:before="120" w:after="120"/>
              <w:jc w:val="center"/>
              <w:rPr>
                <w:b/>
                <w:szCs w:val="22"/>
              </w:rPr>
            </w:pPr>
            <w:r w:rsidRPr="005B64DF">
              <w:rPr>
                <w:b/>
                <w:noProof/>
                <w:szCs w:val="22"/>
              </w:rPr>
              <w:t>15</w:t>
            </w:r>
          </w:p>
        </w:tc>
      </w:tr>
      <w:tr w:rsidR="007F332A" w:rsidRPr="005B64DF" w14:paraId="122D654F" w14:textId="77777777" w:rsidTr="00DF6F65">
        <w:tc>
          <w:tcPr>
            <w:tcW w:w="8472" w:type="dxa"/>
          </w:tcPr>
          <w:p w14:paraId="66761CFD" w14:textId="77777777" w:rsidR="007F332A" w:rsidRPr="005B64DF" w:rsidRDefault="007F332A" w:rsidP="007F332A">
            <w:pPr>
              <w:spacing w:before="120" w:after="120"/>
              <w:ind w:left="340" w:hanging="340"/>
              <w:rPr>
                <w:szCs w:val="22"/>
                <w:lang w:val="fr-BE"/>
              </w:rPr>
            </w:pPr>
            <w:r w:rsidRPr="005B64DF">
              <w:rPr>
                <w:noProof/>
                <w:szCs w:val="22"/>
                <w:lang w:val="fr-BE"/>
              </w:rPr>
              <w:t>3.1. Quelle est la cohérence de la conception de l'action ? La proposition indique-t-elle les résultats attendus de l'action ? La logique d'intervention explique-t-elle la logique pour atteindre les résultats attendus ? Les activités proposées sont-elles appropriées, pratiques et cohérentes avec les produits et résultats escomptés ?</w:t>
            </w:r>
          </w:p>
        </w:tc>
        <w:tc>
          <w:tcPr>
            <w:tcW w:w="1275" w:type="dxa"/>
          </w:tcPr>
          <w:p w14:paraId="5C430541"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27C1BD6D" w14:textId="77777777" w:rsidTr="00DF6F65">
        <w:tc>
          <w:tcPr>
            <w:tcW w:w="8472" w:type="dxa"/>
          </w:tcPr>
          <w:p w14:paraId="7294413E" w14:textId="77777777" w:rsidR="007F332A" w:rsidRPr="005B64DF" w:rsidRDefault="007F332A" w:rsidP="007F332A">
            <w:pPr>
              <w:spacing w:before="120" w:after="120"/>
              <w:ind w:left="340" w:hanging="340"/>
              <w:rPr>
                <w:szCs w:val="22"/>
                <w:lang w:val="fr-BE"/>
              </w:rPr>
            </w:pPr>
            <w:r w:rsidRPr="005B64DF">
              <w:rPr>
                <w:noProof/>
                <w:szCs w:val="22"/>
                <w:lang w:val="fr-BE"/>
              </w:rPr>
              <w:t>3.2. La proposition / cadre logique comprend-elle des références, des objectifs et des sources de vérification crédibles ? Si non, une étude de référence est-elle prévue (et l'étude est-elle budgétisée de manière appropriée dans la proposition) ?</w:t>
            </w:r>
          </w:p>
        </w:tc>
        <w:tc>
          <w:tcPr>
            <w:tcW w:w="1275" w:type="dxa"/>
          </w:tcPr>
          <w:p w14:paraId="3C97D48B"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5D49454A" w14:textId="77777777" w:rsidTr="00DF6F65">
        <w:tc>
          <w:tcPr>
            <w:tcW w:w="8472" w:type="dxa"/>
          </w:tcPr>
          <w:p w14:paraId="4E8CCBC6" w14:textId="77777777" w:rsidR="007F332A" w:rsidRPr="005B64DF" w:rsidRDefault="007F332A" w:rsidP="007F332A">
            <w:pPr>
              <w:spacing w:before="120" w:after="120"/>
              <w:ind w:left="340" w:hanging="340"/>
              <w:rPr>
                <w:szCs w:val="22"/>
                <w:lang w:val="fr-BE"/>
              </w:rPr>
            </w:pPr>
            <w:r w:rsidRPr="005B64DF">
              <w:rPr>
                <w:noProof/>
                <w:szCs w:val="22"/>
                <w:lang w:val="fr-BE"/>
              </w:rPr>
              <w:t>3.3. La conception reflète-t-elle une analyse robuste des problèmes en jeu et des capacités des parties prenantes concernées ?</w:t>
            </w:r>
          </w:p>
        </w:tc>
        <w:tc>
          <w:tcPr>
            <w:tcW w:w="1275" w:type="dxa"/>
          </w:tcPr>
          <w:p w14:paraId="0A724838"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45506981" w14:textId="77777777" w:rsidTr="00DF6F65">
        <w:tc>
          <w:tcPr>
            <w:tcW w:w="8472" w:type="dxa"/>
            <w:shd w:val="pct10" w:color="auto" w:fill="FFFFFF"/>
            <w:vAlign w:val="center"/>
          </w:tcPr>
          <w:p w14:paraId="5EF40385" w14:textId="77777777" w:rsidR="007F332A" w:rsidRPr="005B64DF" w:rsidRDefault="007F332A" w:rsidP="00DF6F65">
            <w:pPr>
              <w:rPr>
                <w:szCs w:val="22"/>
                <w:lang w:val="fr-BE"/>
              </w:rPr>
            </w:pPr>
            <w:r w:rsidRPr="005B64DF">
              <w:rPr>
                <w:szCs w:val="22"/>
                <w:lang w:val="fr-BE"/>
              </w:rPr>
              <w:lastRenderedPageBreak/>
              <w:br w:type="page"/>
            </w:r>
            <w:r w:rsidRPr="005B64DF">
              <w:rPr>
                <w:b/>
                <w:szCs w:val="22"/>
                <w:lang w:val="fr-BE"/>
              </w:rPr>
              <w:t xml:space="preserve">4. </w:t>
            </w:r>
            <w:r w:rsidRPr="005B64DF">
              <w:rPr>
                <w:b/>
                <w:noProof/>
                <w:szCs w:val="22"/>
                <w:lang w:val="fr-BE"/>
              </w:rPr>
              <w:t>Approche de mise en œuvre</w:t>
            </w:r>
          </w:p>
        </w:tc>
        <w:tc>
          <w:tcPr>
            <w:tcW w:w="1275" w:type="dxa"/>
            <w:shd w:val="pct10" w:color="auto" w:fill="FFFFFF"/>
            <w:vAlign w:val="center"/>
          </w:tcPr>
          <w:p w14:paraId="5237E4C6" w14:textId="77777777" w:rsidR="007F332A" w:rsidRPr="005B64DF" w:rsidRDefault="007F332A" w:rsidP="007F332A">
            <w:pPr>
              <w:spacing w:before="120" w:after="120"/>
              <w:jc w:val="center"/>
              <w:rPr>
                <w:b/>
                <w:szCs w:val="22"/>
              </w:rPr>
            </w:pPr>
            <w:r w:rsidRPr="005B64DF">
              <w:rPr>
                <w:b/>
                <w:noProof/>
                <w:szCs w:val="22"/>
              </w:rPr>
              <w:t>15</w:t>
            </w:r>
          </w:p>
        </w:tc>
      </w:tr>
      <w:tr w:rsidR="007F332A" w:rsidRPr="005B64DF" w14:paraId="64D9AF07" w14:textId="77777777" w:rsidTr="00DF6F65">
        <w:tc>
          <w:tcPr>
            <w:tcW w:w="8472" w:type="dxa"/>
          </w:tcPr>
          <w:p w14:paraId="38EC5115" w14:textId="77777777" w:rsidR="007F332A" w:rsidRPr="005B64DF" w:rsidRDefault="007F332A" w:rsidP="007F332A">
            <w:pPr>
              <w:spacing w:before="120" w:after="120"/>
              <w:ind w:left="340" w:hanging="340"/>
              <w:rPr>
                <w:szCs w:val="22"/>
                <w:lang w:val="en-US"/>
              </w:rPr>
            </w:pPr>
            <w:r w:rsidRPr="005B64DF">
              <w:rPr>
                <w:noProof/>
                <w:szCs w:val="22"/>
                <w:lang w:val="fr-BE"/>
              </w:rPr>
              <w:t xml:space="preserve">4.1. Le plan d'action pour la mise en œuvre de l'action est-il clair et réalisable ? </w:t>
            </w:r>
            <w:r w:rsidRPr="005B64DF">
              <w:rPr>
                <w:noProof/>
                <w:szCs w:val="22"/>
                <w:lang w:val="en-US"/>
              </w:rPr>
              <w:t>La chronologie est-elle réaliste ?</w:t>
            </w:r>
          </w:p>
        </w:tc>
        <w:tc>
          <w:tcPr>
            <w:tcW w:w="1275" w:type="dxa"/>
          </w:tcPr>
          <w:p w14:paraId="5CEF5696"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4FFA7CEB" w14:textId="77777777" w:rsidTr="00DF6F65">
        <w:tc>
          <w:tcPr>
            <w:tcW w:w="8472" w:type="dxa"/>
          </w:tcPr>
          <w:p w14:paraId="0E1C8706" w14:textId="77777777" w:rsidR="007F332A" w:rsidRPr="005B64DF" w:rsidRDefault="007F332A" w:rsidP="007F332A">
            <w:pPr>
              <w:spacing w:before="120" w:after="120"/>
              <w:ind w:left="340" w:hanging="340"/>
              <w:rPr>
                <w:szCs w:val="22"/>
                <w:lang w:val="fr-BE"/>
              </w:rPr>
            </w:pPr>
            <w:r w:rsidRPr="005B64DF">
              <w:rPr>
                <w:noProof/>
                <w:szCs w:val="22"/>
                <w:lang w:val="fr-BE"/>
              </w:rPr>
              <w:t>4.2. La proposition comprend-elle un système de suivi efficace et efficient ? Une évaluation est-elle prévue (avant, pendant ou / et à la fin de la mise en œuvre) ?</w:t>
            </w:r>
          </w:p>
        </w:tc>
        <w:tc>
          <w:tcPr>
            <w:tcW w:w="1275" w:type="dxa"/>
          </w:tcPr>
          <w:p w14:paraId="77749EBC"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20724799" w14:textId="77777777" w:rsidTr="00DF6F65">
        <w:tc>
          <w:tcPr>
            <w:tcW w:w="8472" w:type="dxa"/>
          </w:tcPr>
          <w:p w14:paraId="57972F7E" w14:textId="77777777" w:rsidR="007F332A" w:rsidRPr="005B64DF" w:rsidRDefault="007F332A" w:rsidP="007F332A">
            <w:pPr>
              <w:spacing w:before="120" w:after="120"/>
              <w:ind w:left="340" w:hanging="340"/>
              <w:rPr>
                <w:szCs w:val="22"/>
                <w:lang w:val="fr-BE"/>
              </w:rPr>
            </w:pPr>
            <w:r w:rsidRPr="005B64DF">
              <w:rPr>
                <w:noProof/>
                <w:szCs w:val="22"/>
                <w:lang w:val="fr-BE"/>
              </w:rPr>
              <w:t>4.3. Le niveau d’implication et de participation à l'action du/des codemandeur(s) et de l'/des entité(s) affiliée(s) est-il satisfaisant ?</w:t>
            </w:r>
          </w:p>
        </w:tc>
        <w:tc>
          <w:tcPr>
            <w:tcW w:w="1275" w:type="dxa"/>
          </w:tcPr>
          <w:p w14:paraId="5E05D2BB"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7FE16D2A" w14:textId="77777777" w:rsidTr="00DF6F65">
        <w:tc>
          <w:tcPr>
            <w:tcW w:w="8472" w:type="dxa"/>
            <w:shd w:val="pct10" w:color="auto" w:fill="FFFFFF"/>
            <w:vAlign w:val="center"/>
          </w:tcPr>
          <w:p w14:paraId="5B316F21" w14:textId="77777777" w:rsidR="007F332A" w:rsidRPr="005B64DF" w:rsidRDefault="007F332A" w:rsidP="00DF6F65">
            <w:pPr>
              <w:rPr>
                <w:szCs w:val="22"/>
                <w:lang w:val="en-US"/>
              </w:rPr>
            </w:pPr>
            <w:r w:rsidRPr="005B64DF">
              <w:rPr>
                <w:szCs w:val="22"/>
                <w:lang w:val="en-US"/>
              </w:rPr>
              <w:br w:type="page"/>
            </w:r>
            <w:r w:rsidRPr="005B64DF">
              <w:rPr>
                <w:b/>
                <w:szCs w:val="22"/>
                <w:lang w:val="en-US"/>
              </w:rPr>
              <w:t xml:space="preserve">5. </w:t>
            </w:r>
            <w:r w:rsidRPr="005B64DF">
              <w:rPr>
                <w:b/>
                <w:noProof/>
                <w:szCs w:val="22"/>
                <w:lang w:val="en-US"/>
              </w:rPr>
              <w:t>Durabilité de l'action</w:t>
            </w:r>
          </w:p>
        </w:tc>
        <w:tc>
          <w:tcPr>
            <w:tcW w:w="1275" w:type="dxa"/>
            <w:shd w:val="pct10" w:color="auto" w:fill="FFFFFF"/>
            <w:vAlign w:val="center"/>
          </w:tcPr>
          <w:p w14:paraId="128127D2" w14:textId="77777777" w:rsidR="007F332A" w:rsidRPr="005B64DF" w:rsidRDefault="007F332A" w:rsidP="007F332A">
            <w:pPr>
              <w:spacing w:before="120" w:after="120"/>
              <w:jc w:val="center"/>
              <w:rPr>
                <w:b/>
                <w:szCs w:val="22"/>
              </w:rPr>
            </w:pPr>
            <w:r w:rsidRPr="005B64DF">
              <w:rPr>
                <w:b/>
                <w:noProof/>
                <w:szCs w:val="22"/>
              </w:rPr>
              <w:t>15</w:t>
            </w:r>
          </w:p>
        </w:tc>
      </w:tr>
      <w:tr w:rsidR="007F332A" w:rsidRPr="005B64DF" w14:paraId="6F0D99EC" w14:textId="77777777" w:rsidTr="00DF6F65">
        <w:tc>
          <w:tcPr>
            <w:tcW w:w="8472" w:type="dxa"/>
          </w:tcPr>
          <w:p w14:paraId="0625E836" w14:textId="77777777" w:rsidR="007F332A" w:rsidRPr="005B64DF" w:rsidRDefault="007F332A" w:rsidP="007F332A">
            <w:pPr>
              <w:spacing w:before="120" w:after="120"/>
              <w:ind w:left="340" w:hanging="340"/>
              <w:rPr>
                <w:szCs w:val="22"/>
                <w:lang w:val="fr-BE"/>
              </w:rPr>
            </w:pPr>
            <w:r w:rsidRPr="005B64DF">
              <w:rPr>
                <w:noProof/>
                <w:szCs w:val="22"/>
                <w:lang w:val="fr-BE"/>
              </w:rPr>
              <w:t xml:space="preserve">5.1. L’action est-elle susceptible d’avoir un impact tangible sur les groupes cibles ? </w:t>
            </w:r>
          </w:p>
        </w:tc>
        <w:tc>
          <w:tcPr>
            <w:tcW w:w="1275" w:type="dxa"/>
          </w:tcPr>
          <w:p w14:paraId="774A0E25"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4B07E6E2" w14:textId="77777777" w:rsidTr="00DF6F65">
        <w:tc>
          <w:tcPr>
            <w:tcW w:w="8472" w:type="dxa"/>
          </w:tcPr>
          <w:p w14:paraId="77D6F5EE" w14:textId="77777777" w:rsidR="007F332A" w:rsidRPr="005B64DF" w:rsidRDefault="007F332A" w:rsidP="007F332A">
            <w:pPr>
              <w:spacing w:before="120" w:after="120"/>
              <w:ind w:left="340" w:hanging="340"/>
              <w:rPr>
                <w:szCs w:val="22"/>
                <w:lang w:val="fr-BE"/>
              </w:rPr>
            </w:pPr>
            <w:r w:rsidRPr="005B64DF">
              <w:rPr>
                <w:noProof/>
                <w:szCs w:val="22"/>
                <w:lang w:val="fr-BE"/>
              </w:rPr>
              <w:t>5.2. L'action est-elle susceptible d'avoir des effets multiplicateurs, y compris la possibilité de réplication, la capitalisation de la vulgarisation sur l'expérience et le partage des connaissances ?</w:t>
            </w:r>
          </w:p>
        </w:tc>
        <w:tc>
          <w:tcPr>
            <w:tcW w:w="1275" w:type="dxa"/>
          </w:tcPr>
          <w:p w14:paraId="0CA5ADC4"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12CAB906" w14:textId="77777777" w:rsidTr="00DF6F65">
        <w:tc>
          <w:tcPr>
            <w:tcW w:w="8472" w:type="dxa"/>
          </w:tcPr>
          <w:p w14:paraId="09314C2A" w14:textId="77777777" w:rsidR="007F332A" w:rsidRPr="005B64DF" w:rsidRDefault="007F332A" w:rsidP="007F332A">
            <w:pPr>
              <w:spacing w:before="120" w:after="120"/>
              <w:ind w:left="340" w:hanging="340"/>
              <w:rPr>
                <w:szCs w:val="22"/>
                <w:lang w:val="fr-BE"/>
              </w:rPr>
            </w:pPr>
            <w:r w:rsidRPr="005B64DF">
              <w:rPr>
                <w:noProof/>
                <w:szCs w:val="22"/>
                <w:lang w:val="fr-BE"/>
              </w:rPr>
              <w:t>5.3. Les résultats attendus de l'action proposée sont-ils durables ?- Financièrement (par exemple, financement des activités de suivi, sources de revenus pour couvrir tous les coûts d'exploitation et de maintenance futurs)- Institutionnellement (les structures permettront-elles de pérenniser les résultats de l'action à la fin de l'action? Y aura-t-il «appropriation» locale des résultats de l'action ?)- Au niveau politique (le cas échéant) (quel sera l'impact structurel de l'action - par exemple, législation améliorée, codes de conduite, méthodes)- Environnementalement (si applicable) (l'action aura-t-elle un impact négatif / positif sur l'environnement ?)</w:t>
            </w:r>
          </w:p>
        </w:tc>
        <w:tc>
          <w:tcPr>
            <w:tcW w:w="1275" w:type="dxa"/>
          </w:tcPr>
          <w:p w14:paraId="4343957D" w14:textId="77777777" w:rsidR="007F332A" w:rsidRPr="005B64DF" w:rsidRDefault="007F332A" w:rsidP="007F332A">
            <w:pPr>
              <w:spacing w:before="120" w:after="120"/>
              <w:jc w:val="center"/>
              <w:rPr>
                <w:szCs w:val="22"/>
                <w:lang w:val="en-US"/>
              </w:rPr>
            </w:pPr>
            <w:r w:rsidRPr="005B64DF">
              <w:rPr>
                <w:noProof/>
                <w:szCs w:val="22"/>
                <w:lang w:val="en-US"/>
              </w:rPr>
              <w:t>5</w:t>
            </w:r>
          </w:p>
        </w:tc>
      </w:tr>
      <w:tr w:rsidR="007F332A" w:rsidRPr="005B64DF" w14:paraId="434C625A" w14:textId="77777777" w:rsidTr="00F254E7">
        <w:tc>
          <w:tcPr>
            <w:tcW w:w="8472" w:type="dxa"/>
            <w:shd w:val="clear" w:color="auto" w:fill="E5E5E5"/>
            <w:vAlign w:val="center"/>
          </w:tcPr>
          <w:p w14:paraId="0628E224" w14:textId="77777777" w:rsidR="007F332A" w:rsidRPr="005B64DF" w:rsidRDefault="007F332A" w:rsidP="007F332A">
            <w:pPr>
              <w:rPr>
                <w:szCs w:val="22"/>
                <w:lang w:val="fr-BE"/>
              </w:rPr>
            </w:pPr>
            <w:r w:rsidRPr="005B64DF">
              <w:rPr>
                <w:szCs w:val="22"/>
                <w:lang w:val="fr-BE"/>
              </w:rPr>
              <w:br w:type="page"/>
            </w:r>
            <w:r w:rsidRPr="005B64DF">
              <w:rPr>
                <w:b/>
                <w:szCs w:val="22"/>
                <w:lang w:val="fr-BE"/>
              </w:rPr>
              <w:t xml:space="preserve">6. </w:t>
            </w:r>
            <w:r w:rsidRPr="005B64DF">
              <w:rPr>
                <w:b/>
                <w:noProof/>
                <w:szCs w:val="22"/>
                <w:lang w:val="fr-BE"/>
              </w:rPr>
              <w:t>Budget et rapport coût-efficacité de l'action</w:t>
            </w:r>
          </w:p>
        </w:tc>
        <w:tc>
          <w:tcPr>
            <w:tcW w:w="1275" w:type="dxa"/>
            <w:shd w:val="clear" w:color="auto" w:fill="E5E5E5"/>
            <w:vAlign w:val="center"/>
          </w:tcPr>
          <w:p w14:paraId="69783313" w14:textId="77777777" w:rsidR="007F332A" w:rsidRPr="005B64DF" w:rsidRDefault="007F332A" w:rsidP="00DF6F65">
            <w:pPr>
              <w:spacing w:before="120" w:after="120"/>
              <w:jc w:val="center"/>
              <w:rPr>
                <w:b/>
                <w:szCs w:val="22"/>
              </w:rPr>
            </w:pPr>
            <w:r w:rsidRPr="005B64DF">
              <w:rPr>
                <w:b/>
                <w:noProof/>
                <w:szCs w:val="22"/>
              </w:rPr>
              <w:t>15</w:t>
            </w:r>
          </w:p>
        </w:tc>
      </w:tr>
      <w:tr w:rsidR="007F332A" w:rsidRPr="005B64DF" w14:paraId="2EF29A36" w14:textId="77777777" w:rsidTr="00DF6F65">
        <w:tc>
          <w:tcPr>
            <w:tcW w:w="8472" w:type="dxa"/>
          </w:tcPr>
          <w:p w14:paraId="6465F999" w14:textId="77777777" w:rsidR="007F332A" w:rsidRPr="005B64DF" w:rsidRDefault="007F332A" w:rsidP="00DF6F65">
            <w:pPr>
              <w:spacing w:before="120" w:after="120"/>
              <w:ind w:left="340" w:hanging="340"/>
              <w:rPr>
                <w:szCs w:val="22"/>
                <w:lang w:val="fr-BE"/>
              </w:rPr>
            </w:pPr>
            <w:r w:rsidRPr="005B64DF">
              <w:rPr>
                <w:noProof/>
                <w:szCs w:val="22"/>
                <w:lang w:val="fr-BE"/>
              </w:rPr>
              <w:t>6.1. Les activités sont-elles convenablement reflétées dans le budget ?</w:t>
            </w:r>
          </w:p>
        </w:tc>
        <w:tc>
          <w:tcPr>
            <w:tcW w:w="1275" w:type="dxa"/>
          </w:tcPr>
          <w:p w14:paraId="372559CB" w14:textId="77777777" w:rsidR="007F332A" w:rsidRPr="005B64DF" w:rsidRDefault="007F332A" w:rsidP="00DF6F65">
            <w:pPr>
              <w:spacing w:before="120" w:after="120"/>
              <w:jc w:val="center"/>
              <w:rPr>
                <w:szCs w:val="22"/>
                <w:lang w:val="en-US"/>
              </w:rPr>
            </w:pPr>
            <w:r w:rsidRPr="005B64DF">
              <w:rPr>
                <w:noProof/>
                <w:szCs w:val="22"/>
                <w:lang w:val="en-US"/>
              </w:rPr>
              <w:t>5</w:t>
            </w:r>
          </w:p>
        </w:tc>
      </w:tr>
      <w:tr w:rsidR="007F332A" w:rsidRPr="005B64DF" w14:paraId="2AD3DF85" w14:textId="77777777" w:rsidTr="00DF6F65">
        <w:tc>
          <w:tcPr>
            <w:tcW w:w="8472" w:type="dxa"/>
          </w:tcPr>
          <w:p w14:paraId="2C12DED0" w14:textId="77777777" w:rsidR="007F332A" w:rsidRPr="005B64DF" w:rsidRDefault="007F332A" w:rsidP="00DF6F65">
            <w:pPr>
              <w:spacing w:before="120" w:after="120"/>
              <w:ind w:left="340" w:hanging="340"/>
              <w:rPr>
                <w:szCs w:val="22"/>
                <w:lang w:val="fr-BE"/>
              </w:rPr>
            </w:pPr>
            <w:r w:rsidRPr="005B64DF">
              <w:rPr>
                <w:noProof/>
                <w:szCs w:val="22"/>
                <w:lang w:val="fr-BE"/>
              </w:rPr>
              <w:t>6.2. Le ratio entre les coûts estimés et les résultats escomptés est-il satisfaisant ?</w:t>
            </w:r>
          </w:p>
        </w:tc>
        <w:tc>
          <w:tcPr>
            <w:tcW w:w="1275" w:type="dxa"/>
          </w:tcPr>
          <w:p w14:paraId="6AFA9931" w14:textId="77777777" w:rsidR="007F332A" w:rsidRPr="005B64DF" w:rsidRDefault="007F332A" w:rsidP="00DF6F65">
            <w:pPr>
              <w:spacing w:before="120" w:after="120"/>
              <w:jc w:val="center"/>
              <w:rPr>
                <w:szCs w:val="22"/>
                <w:lang w:val="en-US"/>
              </w:rPr>
            </w:pPr>
            <w:r w:rsidRPr="005B64DF">
              <w:rPr>
                <w:noProof/>
                <w:szCs w:val="22"/>
                <w:lang w:val="en-US"/>
              </w:rPr>
              <w:t>5x2**</w:t>
            </w:r>
          </w:p>
        </w:tc>
      </w:tr>
      <w:tr w:rsidR="007F332A" w:rsidRPr="005B64DF" w14:paraId="3DEAAA03" w14:textId="77777777" w:rsidTr="00DF6F65">
        <w:tc>
          <w:tcPr>
            <w:tcW w:w="8472" w:type="dxa"/>
            <w:shd w:val="pct10" w:color="auto" w:fill="FFFFFF"/>
            <w:vAlign w:val="center"/>
          </w:tcPr>
          <w:p w14:paraId="1D32A864" w14:textId="77777777" w:rsidR="007F332A" w:rsidRPr="005B64DF" w:rsidRDefault="007F332A" w:rsidP="00DF6F65">
            <w:pPr>
              <w:rPr>
                <w:b/>
                <w:szCs w:val="22"/>
              </w:rPr>
            </w:pPr>
            <w:r w:rsidRPr="005B64DF">
              <w:rPr>
                <w:b/>
                <w:szCs w:val="22"/>
              </w:rPr>
              <w:t>Note totale maximale</w:t>
            </w:r>
          </w:p>
        </w:tc>
        <w:tc>
          <w:tcPr>
            <w:tcW w:w="1275" w:type="dxa"/>
            <w:shd w:val="pct10" w:color="auto" w:fill="FFFFFF"/>
            <w:vAlign w:val="center"/>
          </w:tcPr>
          <w:p w14:paraId="3B72CB36" w14:textId="77777777" w:rsidR="007F332A" w:rsidRPr="005B64DF" w:rsidRDefault="007F332A" w:rsidP="007F332A">
            <w:pPr>
              <w:keepNext/>
              <w:spacing w:before="120" w:after="120"/>
              <w:jc w:val="center"/>
              <w:rPr>
                <w:b/>
                <w:szCs w:val="22"/>
              </w:rPr>
            </w:pPr>
            <w:r w:rsidRPr="005B64DF">
              <w:rPr>
                <w:b/>
                <w:noProof/>
                <w:szCs w:val="22"/>
              </w:rPr>
              <w:t>100</w:t>
            </w:r>
          </w:p>
        </w:tc>
      </w:tr>
    </w:tbl>
    <w:p w14:paraId="6E89154C" w14:textId="77777777" w:rsidR="0086780C" w:rsidRPr="005B64DF" w:rsidRDefault="005B7EA6" w:rsidP="007F332A">
      <w:pPr>
        <w:pStyle w:val="Caption"/>
        <w:rPr>
          <w:sz w:val="22"/>
          <w:szCs w:val="22"/>
        </w:rPr>
      </w:pPr>
      <w:r w:rsidRPr="005B64DF">
        <w:rPr>
          <w:sz w:val="22"/>
          <w:szCs w:val="22"/>
        </w:rPr>
        <w:t>**: cette note est multipliée par 2 en raison de son importance.</w:t>
      </w:r>
    </w:p>
    <w:p w14:paraId="1C02E725" w14:textId="77777777" w:rsidR="00F248A3" w:rsidRPr="005B64DF" w:rsidRDefault="00F248A3" w:rsidP="006F280A">
      <w:pPr>
        <w:rPr>
          <w:szCs w:val="22"/>
        </w:rPr>
      </w:pPr>
      <w:r w:rsidRPr="005B64DF">
        <w:rPr>
          <w:szCs w:val="22"/>
        </w:rPr>
        <w:t>Si la note totale pour la section 1 (Capacité financière et opérationnelle) est inférieure à 12, la demande est rejetée. De même, la demande est rejetée si au moins une des sous-sections de la section 1 reçoit la note de 1.</w:t>
      </w:r>
    </w:p>
    <w:p w14:paraId="366A2486" w14:textId="77777777" w:rsidR="00B975FF" w:rsidRPr="005B64DF" w:rsidRDefault="00B975FF" w:rsidP="006F280A">
      <w:pPr>
        <w:rPr>
          <w:szCs w:val="22"/>
        </w:rPr>
      </w:pPr>
      <w:r w:rsidRPr="005B64DF">
        <w:rPr>
          <w:szCs w:val="22"/>
        </w:rPr>
        <w:t xml:space="preserve">Si le demandeur chef de file fait une demande sans codemandeurs ou entités affiliées, la note pour le point 4.3 sera de 5, sauf si la participation de codemandeurs ou d’entités affiliées est obligatoire en vertu des lignes directrices à l’intention des demandeurs.  </w:t>
      </w:r>
    </w:p>
    <w:p w14:paraId="2107F75B" w14:textId="77777777" w:rsidR="00ED5802" w:rsidRPr="005B64DF" w:rsidRDefault="00ED5802" w:rsidP="006F280A">
      <w:pPr>
        <w:rPr>
          <w:i/>
          <w:szCs w:val="22"/>
        </w:rPr>
      </w:pPr>
      <w:r w:rsidRPr="005B64DF">
        <w:rPr>
          <w:i/>
          <w:szCs w:val="22"/>
        </w:rPr>
        <w:t>Sélection provisoire</w:t>
      </w:r>
    </w:p>
    <w:p w14:paraId="49A92D42" w14:textId="77777777" w:rsidR="00ED5802" w:rsidRPr="005B64DF" w:rsidRDefault="008F3758" w:rsidP="006F280A">
      <w:pPr>
        <w:rPr>
          <w:szCs w:val="22"/>
        </w:rPr>
      </w:pPr>
      <w:r w:rsidRPr="005B64DF">
        <w:rPr>
          <w:szCs w:val="22"/>
        </w:rPr>
        <w:t>Après l’évaluation, les demandes seront classées en fonction de leur note. Les demandes ayant obtenu la meilleure note sont provisoirement sélectionnées jusqu’à épuisement du budget disponible pour le présent appel à propositions. En outre, une liste de réserve est établie suivant les mêmes critères. Cette liste sera utilisée si d’autres fonds deviennent disponibles pendant sa période de validité.</w:t>
      </w:r>
    </w:p>
    <w:p w14:paraId="7A3A1696" w14:textId="77777777" w:rsidR="00F20A9C" w:rsidRPr="005B64DF" w:rsidRDefault="00267E4F" w:rsidP="00575041">
      <w:pPr>
        <w:numPr>
          <w:ilvl w:val="0"/>
          <w:numId w:val="28"/>
        </w:numPr>
        <w:tabs>
          <w:tab w:val="left" w:pos="426"/>
        </w:tabs>
        <w:spacing w:before="240"/>
        <w:ind w:left="1418" w:hanging="1418"/>
        <w:jc w:val="left"/>
        <w:rPr>
          <w:b/>
          <w:szCs w:val="22"/>
        </w:rPr>
      </w:pPr>
      <w:r w:rsidRPr="005B64DF">
        <w:rPr>
          <w:szCs w:val="22"/>
        </w:rPr>
        <w:br w:type="page"/>
      </w:r>
      <w:r w:rsidRPr="005B64DF">
        <w:rPr>
          <w:b/>
          <w:szCs w:val="22"/>
        </w:rPr>
        <w:lastRenderedPageBreak/>
        <w:t>ÉTAPE 3:</w:t>
      </w:r>
      <w:r w:rsidRPr="005B64DF">
        <w:rPr>
          <w:b/>
          <w:szCs w:val="22"/>
        </w:rPr>
        <w:tab/>
        <w:t>VÉRIFICATION DE L’ÉLIGIBILITÉ DES DEMANDEURS ET DE L’/DES ENTITÉ(S) AFFILIÉE(S)</w:t>
      </w:r>
    </w:p>
    <w:p w14:paraId="218181FD" w14:textId="77777777" w:rsidR="00F20A9C" w:rsidRPr="005B64DF" w:rsidRDefault="006C1232" w:rsidP="006F280A">
      <w:pPr>
        <w:rPr>
          <w:szCs w:val="22"/>
        </w:rPr>
      </w:pPr>
      <w:r w:rsidRPr="005B64DF">
        <w:rPr>
          <w:szCs w:val="22"/>
        </w:rPr>
        <w:t xml:space="preserve">La vérification de l’éligibilité est effectuée sur la base des pièces justificatives demandées par l’administration contractante (voir section 2.4). Elle est réalisée par défaut </w:t>
      </w:r>
      <w:r w:rsidRPr="005B64DF">
        <w:rPr>
          <w:szCs w:val="22"/>
          <w:u w:val="single"/>
        </w:rPr>
        <w:t>uniquement</w:t>
      </w:r>
      <w:r w:rsidRPr="005B64DF">
        <w:rPr>
          <w:szCs w:val="22"/>
        </w:rPr>
        <w:t xml:space="preserve"> pour les demandes qui ont été provisoirement sélectionnées sur la base de leur note et dans les limites du budget prévu pour le présent appel à propositions. </w:t>
      </w:r>
    </w:p>
    <w:p w14:paraId="00648661" w14:textId="77777777" w:rsidR="00FC4EAA" w:rsidRPr="005B64DF" w:rsidRDefault="007A3169" w:rsidP="00575041">
      <w:pPr>
        <w:numPr>
          <w:ilvl w:val="0"/>
          <w:numId w:val="32"/>
        </w:numPr>
        <w:rPr>
          <w:szCs w:val="22"/>
        </w:rPr>
      </w:pPr>
      <w:r w:rsidRPr="005B64DF">
        <w:rPr>
          <w:szCs w:val="22"/>
        </w:rPr>
        <w:t xml:space="preserve">La déclaration du demandeur chef de file (annexe A.2, section 5) fait l’objet d’une vérification croisée avec les pièces justificatives fournies par ce dernier. Toute pièce justificative manquante ou toute incohérence entre la déclaration du demandeur chef de file et les pièces justificatives peut entraîner le rejet de la demande pour ce seul motif. </w:t>
      </w:r>
    </w:p>
    <w:p w14:paraId="2B83E4F2" w14:textId="77777777" w:rsidR="00FC4EAA" w:rsidRPr="005B64DF" w:rsidRDefault="0029175E" w:rsidP="00575041">
      <w:pPr>
        <w:numPr>
          <w:ilvl w:val="0"/>
          <w:numId w:val="32"/>
        </w:numPr>
        <w:rPr>
          <w:szCs w:val="22"/>
        </w:rPr>
      </w:pPr>
      <w:r w:rsidRPr="005B64DF">
        <w:rPr>
          <w:szCs w:val="22"/>
        </w:rPr>
        <w:t>L’éligibilité des demandeurs et des entité(s) affiliée(s) sera vérifiée sur la base des critères établis à la section 2.1.1.</w:t>
      </w:r>
    </w:p>
    <w:p w14:paraId="7DF2EA1C" w14:textId="77777777" w:rsidR="005D7AF3" w:rsidRPr="005B64DF" w:rsidRDefault="008F3758" w:rsidP="006F280A">
      <w:pPr>
        <w:rPr>
          <w:szCs w:val="22"/>
        </w:rPr>
      </w:pPr>
      <w:r w:rsidRPr="005B64DF">
        <w:rPr>
          <w:szCs w:val="22"/>
        </w:rPr>
        <w:t>Toute demande rejetée est remplacée par la demande suivante la mieux placée sur la liste de réserve qui répond aux limites du budget disponible pour le présent appel à propositions.</w:t>
      </w:r>
      <w:bookmarkStart w:id="78" w:name="_Toc40507654"/>
    </w:p>
    <w:p w14:paraId="6B0C265C" w14:textId="77777777" w:rsidR="0007408E" w:rsidRPr="005B64DF" w:rsidRDefault="005D7AF3" w:rsidP="00575041">
      <w:pPr>
        <w:pStyle w:val="Guidelines2"/>
        <w:numPr>
          <w:ilvl w:val="1"/>
          <w:numId w:val="17"/>
        </w:numPr>
        <w:rPr>
          <w:rFonts w:ascii="Times New Roman" w:hAnsi="Times New Roman"/>
          <w:sz w:val="22"/>
          <w:szCs w:val="22"/>
        </w:rPr>
      </w:pPr>
      <w:r w:rsidRPr="005B64DF">
        <w:rPr>
          <w:rFonts w:ascii="Times New Roman" w:hAnsi="Times New Roman"/>
          <w:sz w:val="22"/>
          <w:szCs w:val="22"/>
        </w:rPr>
        <w:br w:type="page"/>
      </w:r>
      <w:bookmarkStart w:id="79" w:name="_Toc179890144"/>
      <w:bookmarkStart w:id="80" w:name="_Toc182404644"/>
      <w:bookmarkStart w:id="81" w:name="_Toc74830965"/>
      <w:r w:rsidRPr="005B64DF">
        <w:rPr>
          <w:rFonts w:ascii="Times New Roman" w:hAnsi="Times New Roman"/>
          <w:sz w:val="22"/>
          <w:szCs w:val="22"/>
        </w:rPr>
        <w:lastRenderedPageBreak/>
        <w:t>Soumission des pièces justificatives</w:t>
      </w:r>
      <w:bookmarkEnd w:id="79"/>
      <w:bookmarkEnd w:id="80"/>
      <w:r w:rsidRPr="005B64DF">
        <w:rPr>
          <w:rFonts w:ascii="Times New Roman" w:hAnsi="Times New Roman"/>
          <w:sz w:val="22"/>
          <w:szCs w:val="22"/>
        </w:rPr>
        <w:t xml:space="preserve"> </w:t>
      </w:r>
      <w:bookmarkEnd w:id="78"/>
      <w:bookmarkEnd w:id="81"/>
    </w:p>
    <w:p w14:paraId="4C2890BB" w14:textId="77777777" w:rsidR="00C1046E" w:rsidRPr="005B64DF" w:rsidRDefault="00C1046E" w:rsidP="006F280A">
      <w:pPr>
        <w:rPr>
          <w:szCs w:val="22"/>
        </w:rPr>
      </w:pPr>
      <w:r w:rsidRPr="005B64DF">
        <w:rPr>
          <w:szCs w:val="22"/>
        </w:rPr>
        <w:t>Le demandeur chef de file soumet les documents énumérés à la section 2.2.5.</w:t>
      </w:r>
    </w:p>
    <w:p w14:paraId="4B4532C5" w14:textId="77777777" w:rsidR="00984331" w:rsidRPr="005B64DF" w:rsidRDefault="00517845" w:rsidP="00BA6979">
      <w:pPr>
        <w:tabs>
          <w:tab w:val="left" w:pos="567"/>
          <w:tab w:val="left" w:pos="2126"/>
          <w:tab w:val="left" w:pos="2835"/>
        </w:tabs>
        <w:spacing w:before="120"/>
        <w:rPr>
          <w:szCs w:val="22"/>
        </w:rPr>
      </w:pPr>
      <w:r w:rsidRPr="005B64DF">
        <w:rPr>
          <w:szCs w:val="22"/>
        </w:rPr>
        <w:t xml:space="preserve">En outre, un demandeur chef de file dont la demande a été provisoirement sélectionnée ou inscrite sur la liste de réserve sera informé par écrit par l’administration contractante. Il sera invité à fournir les documents suivants via PROSPECT: </w:t>
      </w:r>
    </w:p>
    <w:p w14:paraId="38B98B6E" w14:textId="77777777" w:rsidR="00420D0B" w:rsidRPr="005B64DF" w:rsidRDefault="0041369D" w:rsidP="00575041">
      <w:pPr>
        <w:numPr>
          <w:ilvl w:val="6"/>
          <w:numId w:val="33"/>
        </w:numPr>
        <w:ind w:left="567"/>
        <w:rPr>
          <w:szCs w:val="22"/>
        </w:rPr>
      </w:pPr>
      <w:r w:rsidRPr="005B64DF">
        <w:rPr>
          <w:szCs w:val="22"/>
        </w:rPr>
        <w:t>Déclaration sur l’honneur: le demandeur chef de file ainsi que tous les codemandeurs et entités affiliées remplissent et signent la déclaration sur l’honneur attestant qu’ils ne se trouvent pas dans l’une des situations d’exclusion (voir section 2.6.10.1 du PRAG) si la valeur de la subvention dépasse 15 000 EUR. Il convient de noter que la déclaration sur l’honneur doit être soumise via PROSPECT.</w:t>
      </w:r>
    </w:p>
    <w:p w14:paraId="4126C8F6" w14:textId="77777777" w:rsidR="00C92A95" w:rsidRPr="005B64DF" w:rsidRDefault="00420D0B" w:rsidP="00575041">
      <w:pPr>
        <w:numPr>
          <w:ilvl w:val="6"/>
          <w:numId w:val="33"/>
        </w:numPr>
        <w:ind w:left="567"/>
        <w:rPr>
          <w:szCs w:val="22"/>
        </w:rPr>
      </w:pPr>
      <w:r w:rsidRPr="005B64DF">
        <w:rPr>
          <w:szCs w:val="22"/>
        </w:rPr>
        <w:t>Questionnaire d’auto-évaluation sur la lutte contre l’exploitation, les abus et le harcèlement sexuels: le demandeur chef de file ainsi que tous les codemandeurs et entités affiliées remplissent le questionnaire d’auto-évaluation sur la politique et la procédure internes de l’organisation en matière d’exploitation, d’abus et de harcèlement sexuels (annexe L) si la valeur de la subvention dépasse 60 000 EUR (voir section 2.5.6 du PRAG)</w:t>
      </w:r>
      <w:r w:rsidR="000030E5" w:rsidRPr="005B64DF">
        <w:rPr>
          <w:rStyle w:val="FootnoteReference"/>
          <w:sz w:val="22"/>
          <w:szCs w:val="22"/>
        </w:rPr>
        <w:footnoteReference w:id="15"/>
      </w:r>
      <w:r w:rsidRPr="005B64DF">
        <w:rPr>
          <w:szCs w:val="22"/>
        </w:rPr>
        <w:t xml:space="preserve">. Il convient de noter que le questionnaire d’auto-évaluation sur la lutte contre l’exploitation, les abus et le harcèlement sexuels devrait être soumis au moyen de PADOR. </w:t>
      </w:r>
    </w:p>
    <w:p w14:paraId="07F86295" w14:textId="77777777" w:rsidR="00517845" w:rsidRPr="005B64DF" w:rsidRDefault="00517845" w:rsidP="00984331">
      <w:pPr>
        <w:rPr>
          <w:szCs w:val="22"/>
        </w:rPr>
      </w:pPr>
      <w:r w:rsidRPr="005B64DF">
        <w:rPr>
          <w:szCs w:val="22"/>
        </w:rPr>
        <w:t xml:space="preserve">S’il est impossible pour les demandeurs chefs de file de fournir les documents susmentionnés via PROSPECT ou PADOR pour des raisons techniques, ils doivent soumettre les pièces justificatives demandées dans une enveloppe scellée, envoyée par courrier recommandé ou messagerie express privée ou remise en main propre à l’adresse postale mentionnée aux sections 2.2.2 et 2.2.6 et conformément aux instructions qui y figurent.  </w:t>
      </w:r>
    </w:p>
    <w:p w14:paraId="5EEAA01B" w14:textId="77777777" w:rsidR="00517845" w:rsidRPr="005B64DF" w:rsidRDefault="00517845" w:rsidP="00984331">
      <w:pPr>
        <w:rPr>
          <w:szCs w:val="22"/>
        </w:rPr>
      </w:pPr>
    </w:p>
    <w:p w14:paraId="6A0D0B91" w14:textId="77777777" w:rsidR="00DB5567" w:rsidRPr="005B64DF" w:rsidRDefault="008B3646" w:rsidP="00984331">
      <w:pPr>
        <w:rPr>
          <w:szCs w:val="22"/>
        </w:rPr>
      </w:pPr>
      <w:r w:rsidRPr="005B64DF">
        <w:rPr>
          <w:szCs w:val="22"/>
        </w:rPr>
        <w:t>Après vérification des pièces justificatives, le comité d’évaluation fera une recommandation finale à l’administration contractante, qui décidera de l’attribution des subventions.</w:t>
      </w:r>
    </w:p>
    <w:p w14:paraId="118198C3" w14:textId="77777777" w:rsidR="001E10DA" w:rsidRPr="005B64DF" w:rsidRDefault="001E10DA" w:rsidP="002D4ACD">
      <w:pPr>
        <w:ind w:left="567" w:hanging="567"/>
        <w:rPr>
          <w:szCs w:val="22"/>
        </w:rPr>
      </w:pPr>
      <w:r w:rsidRPr="005B64DF">
        <w:rPr>
          <w:szCs w:val="22"/>
        </w:rPr>
        <w:t>NB:</w:t>
      </w:r>
      <w:r w:rsidRPr="005B64DF">
        <w:rPr>
          <w:szCs w:val="22"/>
        </w:rPr>
        <w:tab/>
        <w:t>si l’administration contractante n’est pas convaincue par la force, la solidité et la garantie offertes par le lien structurel entre un demandeur et son entité affiliée, elle peut exiger la présentation des documents manquants pour permettre de convertir cette dernière en codemandeur. Si tous les documents manquants pour les codemandeurs sont soumis, et sous réserve que tous les critères d’éligibilité nécessaires soient satisfaits, l’entité mentionnée ci-dessus devient codemandeur à toutes fins utiles. Le demandeur chef de file doit soumettre le formulaire de demande modifié en conséquence.</w:t>
      </w:r>
    </w:p>
    <w:p w14:paraId="33CE3793" w14:textId="77777777" w:rsidR="009348D1" w:rsidRPr="005B64DF" w:rsidRDefault="00B67806" w:rsidP="00575041">
      <w:pPr>
        <w:pStyle w:val="Guidelines2"/>
        <w:numPr>
          <w:ilvl w:val="1"/>
          <w:numId w:val="17"/>
        </w:numPr>
        <w:rPr>
          <w:rFonts w:ascii="Times New Roman" w:hAnsi="Times New Roman"/>
          <w:sz w:val="22"/>
          <w:szCs w:val="22"/>
        </w:rPr>
      </w:pPr>
      <w:bookmarkStart w:id="82" w:name="_Toc74830966"/>
      <w:bookmarkStart w:id="83" w:name="_Toc179890145"/>
      <w:bookmarkStart w:id="84" w:name="_Toc182404645"/>
      <w:r w:rsidRPr="005B64DF">
        <w:rPr>
          <w:rFonts w:ascii="Times New Roman" w:hAnsi="Times New Roman"/>
          <w:sz w:val="22"/>
          <w:szCs w:val="22"/>
        </w:rPr>
        <w:t>Notification de la décision de l’administration contractante</w:t>
      </w:r>
      <w:bookmarkEnd w:id="82"/>
      <w:bookmarkEnd w:id="83"/>
      <w:bookmarkEnd w:id="84"/>
    </w:p>
    <w:p w14:paraId="0936C7DD" w14:textId="77777777" w:rsidR="00A57627" w:rsidRPr="005B64DF" w:rsidRDefault="00A57627" w:rsidP="00BF7926">
      <w:pPr>
        <w:pStyle w:val="Guidelines3"/>
        <w:rPr>
          <w:sz w:val="22"/>
          <w:szCs w:val="22"/>
        </w:rPr>
      </w:pPr>
      <w:bookmarkStart w:id="85" w:name="_Toc74830967"/>
      <w:bookmarkStart w:id="86" w:name="_Toc179890146"/>
      <w:bookmarkStart w:id="87" w:name="_Toc182404646"/>
      <w:r w:rsidRPr="005B64DF">
        <w:rPr>
          <w:sz w:val="22"/>
          <w:szCs w:val="22"/>
        </w:rPr>
        <w:t>Contenu de la décision</w:t>
      </w:r>
      <w:bookmarkEnd w:id="85"/>
      <w:bookmarkEnd w:id="86"/>
      <w:bookmarkEnd w:id="87"/>
    </w:p>
    <w:p w14:paraId="159E2B60" w14:textId="77777777" w:rsidR="00AA4FE0" w:rsidRPr="005B64DF" w:rsidRDefault="006B3FDD" w:rsidP="00984331">
      <w:pPr>
        <w:spacing w:before="240"/>
        <w:rPr>
          <w:szCs w:val="22"/>
        </w:rPr>
      </w:pPr>
      <w:r w:rsidRPr="005B64DF">
        <w:rPr>
          <w:szCs w:val="22"/>
        </w:rPr>
        <w:t xml:space="preserve">Les demandeurs chefs de file sont informés par écrit de la décision de l’administration contractante concernant leur demande et, en cas de rejet, des raisons de cette décision négative. Cette lettre sera envoyée par courrier électronique et apparaîtra automatiquement en ligne sur le profil PROSPECT de </w:t>
      </w:r>
      <w:r w:rsidRPr="005B64DF">
        <w:rPr>
          <w:szCs w:val="22"/>
        </w:rPr>
        <w:lastRenderedPageBreak/>
        <w:t>l’utilisateur qui a soumis la demande. Les demandeurs chefs de file qui, dans des cas exceptionnels (voir section 2.2), ont dû soumettre leur demande par courrier postal ou messagerie express privée ou la remettre en main propre, seront informés par courrier électronique ou par courrier postal s’ils n’ont pas communiqué d’adresse de courrier électronique. Par conséquent, veuillez vérifier régulièrement votre profil PROSPECT, en tenant compte du calendrier indicatif ci-dessous. Veuillez noter que le demandeur chef de file est l’intermédiaire pour toutes les communications entre les demandeurs et l’administration contractante au cours de la procédure.</w:t>
      </w:r>
    </w:p>
    <w:p w14:paraId="6FF2BD4A" w14:textId="77777777" w:rsidR="000D5F55" w:rsidRPr="005B64DF" w:rsidRDefault="008A7A99" w:rsidP="00984331">
      <w:pPr>
        <w:rPr>
          <w:szCs w:val="22"/>
        </w:rPr>
      </w:pPr>
      <w:r w:rsidRPr="005B64DF">
        <w:rPr>
          <w:szCs w:val="22"/>
        </w:rPr>
        <w:t xml:space="preserve">Si un demandeur s’estime lésé par une erreur ou irrégularité commise dans le cadre de la procédure d’attribution, il peut introduire une réclamation. Pour plus de détails, voir la section 2.12 du PRAG. </w:t>
      </w:r>
    </w:p>
    <w:p w14:paraId="4E54C1A8" w14:textId="77777777" w:rsidR="00657C92" w:rsidRPr="005B64DF" w:rsidRDefault="00657C92" w:rsidP="00657C92">
      <w:pPr>
        <w:spacing w:after="60"/>
        <w:rPr>
          <w:szCs w:val="22"/>
        </w:rPr>
      </w:pPr>
      <w:r w:rsidRPr="005B64DF">
        <w:rPr>
          <w:szCs w:val="22"/>
        </w:rPr>
        <w:t>Les demandeurs et, si elles sont des personnes morales, les personnes ayant un pouvoir de représentation, de décision ou de contrôle sur eux sont informés du fait que, s’ils sont dans une des situations relevant de la détection rapide et de l’exclusion,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en relation avec l’attribution ou l’exécution d’un contrat de subvention.</w:t>
      </w:r>
    </w:p>
    <w:p w14:paraId="24963AF3" w14:textId="77777777" w:rsidR="00657C92" w:rsidRPr="005B64DF" w:rsidRDefault="00657C92" w:rsidP="00657C92">
      <w:pPr>
        <w:spacing w:after="60"/>
        <w:rPr>
          <w:szCs w:val="22"/>
        </w:rPr>
      </w:pPr>
      <w:r w:rsidRPr="005B64DF">
        <w:rPr>
          <w:szCs w:val="22"/>
        </w:rPr>
        <w:t xml:space="preserve">Pour de plus amples informations, vous pouvez consulter la déclaration de confidentialité disponible à l’adresse suivante: </w:t>
      </w:r>
      <w:hyperlink r:id="rId37" w:history="1">
        <w:r w:rsidRPr="005B64DF">
          <w:rPr>
            <w:rStyle w:val="Hyperlink"/>
            <w:color w:val="auto"/>
            <w:szCs w:val="22"/>
          </w:rPr>
          <w:t>https://ec.europa.eu/info/strategy/eu-budget/how-it-works/annual-lifecycle/implementation/anti-fraud-measures/edes_fr</w:t>
        </w:r>
      </w:hyperlink>
      <w:r w:rsidRPr="005B64DF">
        <w:rPr>
          <w:szCs w:val="22"/>
        </w:rPr>
        <w:t xml:space="preserve"> </w:t>
      </w:r>
    </w:p>
    <w:p w14:paraId="32604BDA" w14:textId="77777777" w:rsidR="004841AA" w:rsidRPr="005B64DF" w:rsidRDefault="004841AA" w:rsidP="00984331">
      <w:pPr>
        <w:rPr>
          <w:szCs w:val="22"/>
        </w:rPr>
      </w:pPr>
    </w:p>
    <w:p w14:paraId="334AC04A" w14:textId="77777777" w:rsidR="0097715A" w:rsidRPr="005B64DF" w:rsidRDefault="0097715A" w:rsidP="00BF7926">
      <w:pPr>
        <w:pStyle w:val="Guidelines3"/>
        <w:rPr>
          <w:sz w:val="22"/>
          <w:szCs w:val="22"/>
        </w:rPr>
      </w:pPr>
      <w:bookmarkStart w:id="88" w:name="_Toc74830968"/>
      <w:bookmarkStart w:id="89" w:name="_Toc179890147"/>
      <w:bookmarkStart w:id="90" w:name="_Toc182404647"/>
      <w:r w:rsidRPr="005B64DF">
        <w:rPr>
          <w:sz w:val="22"/>
          <w:szCs w:val="22"/>
        </w:rPr>
        <w:t>Calendrier indicatif</w:t>
      </w:r>
      <w:bookmarkEnd w:id="88"/>
      <w:bookmarkEnd w:id="89"/>
      <w:bookmarkEnd w:id="90"/>
      <w:r w:rsidRPr="005B64DF">
        <w:rPr>
          <w:sz w:val="22"/>
          <w:szCs w:val="22"/>
        </w:rPr>
        <w:t xml:space="preserve"> </w:t>
      </w:r>
    </w:p>
    <w:p w14:paraId="55BFA568" w14:textId="77777777" w:rsidR="000E38CD" w:rsidRPr="005B64DF" w:rsidRDefault="000E38CD" w:rsidP="00984331">
      <w:pPr>
        <w:rPr>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5B64DF" w14:paraId="24AEFC04" w14:textId="77777777" w:rsidTr="008503BC">
        <w:tc>
          <w:tcPr>
            <w:tcW w:w="4678" w:type="dxa"/>
          </w:tcPr>
          <w:p w14:paraId="34396E68" w14:textId="77777777" w:rsidR="0013435B" w:rsidRPr="005B64DF" w:rsidRDefault="0013435B" w:rsidP="00F15864">
            <w:pPr>
              <w:spacing w:before="120"/>
              <w:rPr>
                <w:szCs w:val="22"/>
              </w:rPr>
            </w:pPr>
          </w:p>
        </w:tc>
        <w:tc>
          <w:tcPr>
            <w:tcW w:w="2552" w:type="dxa"/>
            <w:shd w:val="pct10" w:color="auto" w:fill="FFFFFF"/>
          </w:tcPr>
          <w:p w14:paraId="1A4D6DA4" w14:textId="77777777" w:rsidR="0013435B" w:rsidRPr="005B64DF" w:rsidRDefault="0013435B" w:rsidP="00F15864">
            <w:pPr>
              <w:spacing w:before="120"/>
              <w:jc w:val="center"/>
              <w:rPr>
                <w:b/>
                <w:szCs w:val="22"/>
              </w:rPr>
            </w:pPr>
            <w:r w:rsidRPr="005B64DF">
              <w:rPr>
                <w:b/>
                <w:szCs w:val="22"/>
              </w:rPr>
              <w:t>DATE</w:t>
            </w:r>
          </w:p>
        </w:tc>
        <w:tc>
          <w:tcPr>
            <w:tcW w:w="2551" w:type="dxa"/>
            <w:shd w:val="pct10" w:color="auto" w:fill="FFFFFF"/>
          </w:tcPr>
          <w:p w14:paraId="2773E899" w14:textId="77777777" w:rsidR="0013435B" w:rsidRPr="005B64DF" w:rsidRDefault="0013435B" w:rsidP="00F15864">
            <w:pPr>
              <w:spacing w:before="120"/>
              <w:jc w:val="center"/>
              <w:rPr>
                <w:b/>
                <w:szCs w:val="22"/>
              </w:rPr>
            </w:pPr>
            <w:r w:rsidRPr="005B64DF">
              <w:rPr>
                <w:b/>
                <w:szCs w:val="22"/>
              </w:rPr>
              <w:t>HEURE</w:t>
            </w:r>
          </w:p>
        </w:tc>
      </w:tr>
      <w:tr w:rsidR="0013435B" w:rsidRPr="005B64DF" w14:paraId="113A7561" w14:textId="77777777" w:rsidTr="008503BC">
        <w:tc>
          <w:tcPr>
            <w:tcW w:w="4678" w:type="dxa"/>
            <w:shd w:val="pct10" w:color="auto" w:fill="FFFFFF"/>
          </w:tcPr>
          <w:p w14:paraId="6806F566" w14:textId="77777777" w:rsidR="0013435B" w:rsidRPr="005B64DF" w:rsidRDefault="00273299" w:rsidP="001C4D3A">
            <w:pPr>
              <w:spacing w:before="120"/>
              <w:ind w:left="318" w:hanging="318"/>
              <w:jc w:val="left"/>
              <w:rPr>
                <w:b/>
                <w:szCs w:val="22"/>
              </w:rPr>
            </w:pPr>
            <w:r w:rsidRPr="005B64DF">
              <w:rPr>
                <w:b/>
                <w:szCs w:val="22"/>
              </w:rPr>
              <w:t>1.</w:t>
            </w:r>
            <w:r w:rsidRPr="005B64DF">
              <w:rPr>
                <w:b/>
                <w:szCs w:val="22"/>
              </w:rPr>
              <w:tab/>
              <w:t>Réunion d’information (s’il y a lieu)</w:t>
            </w:r>
          </w:p>
        </w:tc>
        <w:tc>
          <w:tcPr>
            <w:tcW w:w="2552" w:type="dxa"/>
          </w:tcPr>
          <w:p w14:paraId="6E0142FD" w14:textId="64884BE2" w:rsidR="0013435B" w:rsidRPr="005B64DF" w:rsidRDefault="001B554C" w:rsidP="004F7E49">
            <w:pPr>
              <w:spacing w:before="120"/>
              <w:rPr>
                <w:szCs w:val="22"/>
              </w:rPr>
            </w:pPr>
            <w:r>
              <w:rPr>
                <w:szCs w:val="22"/>
              </w:rPr>
              <w:t xml:space="preserve">       </w:t>
            </w:r>
            <w:r w:rsidR="007A0F56" w:rsidRPr="005B64DF">
              <w:rPr>
                <w:szCs w:val="22"/>
              </w:rPr>
              <w:t xml:space="preserve"> </w:t>
            </w:r>
            <w:r w:rsidR="00492560">
              <w:rPr>
                <w:szCs w:val="22"/>
              </w:rPr>
              <w:t>10 janvier 2025</w:t>
            </w:r>
          </w:p>
        </w:tc>
        <w:tc>
          <w:tcPr>
            <w:tcW w:w="2551" w:type="dxa"/>
          </w:tcPr>
          <w:p w14:paraId="4173C431" w14:textId="2BF92AD2" w:rsidR="0013435B" w:rsidRPr="005B64DF" w:rsidRDefault="001B554C" w:rsidP="004F7E49">
            <w:pPr>
              <w:spacing w:before="120"/>
              <w:rPr>
                <w:szCs w:val="22"/>
              </w:rPr>
            </w:pPr>
            <w:r>
              <w:rPr>
                <w:szCs w:val="22"/>
              </w:rPr>
              <w:t xml:space="preserve">           </w:t>
            </w:r>
            <w:r w:rsidR="00492560">
              <w:rPr>
                <w:szCs w:val="22"/>
              </w:rPr>
              <w:t>10-12 heures</w:t>
            </w:r>
          </w:p>
        </w:tc>
      </w:tr>
      <w:tr w:rsidR="0013435B" w:rsidRPr="005B64DF" w14:paraId="0656F13B" w14:textId="77777777" w:rsidTr="00984331">
        <w:tc>
          <w:tcPr>
            <w:tcW w:w="4678" w:type="dxa"/>
            <w:shd w:val="pct10" w:color="auto" w:fill="FFFFFF"/>
          </w:tcPr>
          <w:p w14:paraId="0AB5BB18" w14:textId="77777777" w:rsidR="0013435B" w:rsidRPr="005B64DF" w:rsidRDefault="001C4D3A" w:rsidP="00D34B88">
            <w:pPr>
              <w:spacing w:before="120"/>
              <w:ind w:left="318" w:hanging="284"/>
              <w:jc w:val="left"/>
              <w:rPr>
                <w:b/>
                <w:szCs w:val="22"/>
              </w:rPr>
            </w:pPr>
            <w:r w:rsidRPr="005B64DF">
              <w:rPr>
                <w:b/>
                <w:szCs w:val="22"/>
              </w:rPr>
              <w:t>2.</w:t>
            </w:r>
            <w:r w:rsidRPr="005B64DF">
              <w:rPr>
                <w:b/>
                <w:szCs w:val="22"/>
              </w:rPr>
              <w:tab/>
              <w:t>Date limite à laquelle les éventuelles demandes d’éclaircissements doivent être adressées à l’administration contractante</w:t>
            </w:r>
          </w:p>
        </w:tc>
        <w:tc>
          <w:tcPr>
            <w:tcW w:w="2552" w:type="dxa"/>
          </w:tcPr>
          <w:p w14:paraId="78D74BAD" w14:textId="0BB97276" w:rsidR="0013435B" w:rsidRPr="005B64DF" w:rsidRDefault="00EA7D79" w:rsidP="007A0F56">
            <w:pPr>
              <w:spacing w:before="120"/>
              <w:jc w:val="center"/>
              <w:rPr>
                <w:szCs w:val="22"/>
              </w:rPr>
            </w:pPr>
            <w:r w:rsidRPr="005B64DF">
              <w:rPr>
                <w:szCs w:val="22"/>
              </w:rPr>
              <w:t>1</w:t>
            </w:r>
            <w:r w:rsidR="00A37017">
              <w:rPr>
                <w:szCs w:val="22"/>
              </w:rPr>
              <w:t>4</w:t>
            </w:r>
            <w:r w:rsidR="00E605DC" w:rsidRPr="005B64DF">
              <w:rPr>
                <w:szCs w:val="22"/>
              </w:rPr>
              <w:t xml:space="preserve"> </w:t>
            </w:r>
            <w:r w:rsidRPr="005B64DF">
              <w:rPr>
                <w:szCs w:val="22"/>
              </w:rPr>
              <w:t>janvier 202</w:t>
            </w:r>
            <w:r w:rsidR="00492560">
              <w:rPr>
                <w:szCs w:val="22"/>
              </w:rPr>
              <w:t>5</w:t>
            </w:r>
          </w:p>
        </w:tc>
        <w:tc>
          <w:tcPr>
            <w:tcW w:w="2551" w:type="dxa"/>
          </w:tcPr>
          <w:p w14:paraId="767F2262" w14:textId="77777777" w:rsidR="0013435B" w:rsidRPr="005B64DF" w:rsidRDefault="00EA7D79" w:rsidP="00EA7D79">
            <w:pPr>
              <w:spacing w:before="120"/>
              <w:jc w:val="center"/>
              <w:rPr>
                <w:szCs w:val="22"/>
              </w:rPr>
            </w:pPr>
            <w:r w:rsidRPr="005B64DF">
              <w:rPr>
                <w:szCs w:val="22"/>
              </w:rPr>
              <w:t xml:space="preserve">18 </w:t>
            </w:r>
            <w:r w:rsidR="0013435B" w:rsidRPr="005B64DF">
              <w:rPr>
                <w:szCs w:val="22"/>
              </w:rPr>
              <w:t xml:space="preserve"> Heure</w:t>
            </w:r>
            <w:r w:rsidRPr="005B64DF">
              <w:rPr>
                <w:szCs w:val="22"/>
              </w:rPr>
              <w:t>s</w:t>
            </w:r>
          </w:p>
        </w:tc>
      </w:tr>
      <w:tr w:rsidR="0013435B" w:rsidRPr="005B64DF" w14:paraId="62C26EC5" w14:textId="77777777" w:rsidTr="00984331">
        <w:tc>
          <w:tcPr>
            <w:tcW w:w="4678" w:type="dxa"/>
            <w:shd w:val="pct10" w:color="auto" w:fill="FFFFFF"/>
          </w:tcPr>
          <w:p w14:paraId="50712000" w14:textId="77777777" w:rsidR="0013435B" w:rsidRPr="005B64DF" w:rsidRDefault="001C4D3A" w:rsidP="00D34B88">
            <w:pPr>
              <w:spacing w:before="120"/>
              <w:ind w:left="318" w:hanging="284"/>
              <w:jc w:val="left"/>
              <w:rPr>
                <w:b/>
                <w:szCs w:val="22"/>
              </w:rPr>
            </w:pPr>
            <w:r w:rsidRPr="005B64DF">
              <w:rPr>
                <w:b/>
                <w:szCs w:val="22"/>
              </w:rPr>
              <w:t>3.</w:t>
            </w:r>
            <w:r w:rsidRPr="005B64DF">
              <w:rPr>
                <w:b/>
                <w:szCs w:val="22"/>
              </w:rPr>
              <w:tab/>
              <w:t>Date limite à laquelle l’administration contractante doit répondre aux demandes d’éclaircissements</w:t>
            </w:r>
          </w:p>
        </w:tc>
        <w:tc>
          <w:tcPr>
            <w:tcW w:w="2552" w:type="dxa"/>
          </w:tcPr>
          <w:p w14:paraId="1EE5895A" w14:textId="77777777" w:rsidR="00EA7D79" w:rsidRPr="005B64DF" w:rsidRDefault="00EA7D79" w:rsidP="00F15864">
            <w:pPr>
              <w:spacing w:before="120"/>
              <w:jc w:val="center"/>
              <w:rPr>
                <w:szCs w:val="22"/>
              </w:rPr>
            </w:pPr>
          </w:p>
          <w:p w14:paraId="66D30401" w14:textId="7D46B61D" w:rsidR="0013435B" w:rsidRPr="005B64DF" w:rsidRDefault="00EA7D79" w:rsidP="00F15864">
            <w:pPr>
              <w:spacing w:before="120"/>
              <w:jc w:val="center"/>
              <w:rPr>
                <w:szCs w:val="22"/>
              </w:rPr>
            </w:pPr>
            <w:r w:rsidRPr="005B64DF">
              <w:rPr>
                <w:szCs w:val="22"/>
              </w:rPr>
              <w:t>2</w:t>
            </w:r>
            <w:r w:rsidR="00A37017">
              <w:rPr>
                <w:szCs w:val="22"/>
              </w:rPr>
              <w:t>4</w:t>
            </w:r>
            <w:r w:rsidRPr="005B64DF">
              <w:rPr>
                <w:szCs w:val="22"/>
              </w:rPr>
              <w:t xml:space="preserve"> janvier 2025</w:t>
            </w:r>
          </w:p>
        </w:tc>
        <w:tc>
          <w:tcPr>
            <w:tcW w:w="2551" w:type="dxa"/>
          </w:tcPr>
          <w:p w14:paraId="1D2D1C0F" w14:textId="77777777" w:rsidR="001B554C" w:rsidRDefault="001B554C" w:rsidP="00F15864">
            <w:pPr>
              <w:spacing w:before="120"/>
              <w:jc w:val="center"/>
              <w:rPr>
                <w:szCs w:val="22"/>
              </w:rPr>
            </w:pPr>
          </w:p>
          <w:p w14:paraId="484D910D" w14:textId="05D0190C" w:rsidR="0013435B" w:rsidRPr="005B64DF" w:rsidRDefault="00457742" w:rsidP="00F15864">
            <w:pPr>
              <w:spacing w:before="120"/>
              <w:jc w:val="center"/>
              <w:rPr>
                <w:szCs w:val="22"/>
              </w:rPr>
            </w:pPr>
            <w:r>
              <w:rPr>
                <w:szCs w:val="22"/>
              </w:rPr>
              <w:t>18 heures</w:t>
            </w:r>
          </w:p>
        </w:tc>
      </w:tr>
      <w:tr w:rsidR="0013435B" w:rsidRPr="005B64DF" w14:paraId="3F895820" w14:textId="77777777" w:rsidTr="00984331">
        <w:tc>
          <w:tcPr>
            <w:tcW w:w="4678" w:type="dxa"/>
            <w:shd w:val="pct10" w:color="auto" w:fill="FFFFFF"/>
          </w:tcPr>
          <w:p w14:paraId="58206D9B" w14:textId="77777777" w:rsidR="0013435B" w:rsidRPr="005B64DF" w:rsidRDefault="001C4D3A" w:rsidP="00624D8E">
            <w:pPr>
              <w:spacing w:before="120"/>
              <w:ind w:left="318" w:hanging="284"/>
              <w:jc w:val="left"/>
              <w:rPr>
                <w:b/>
                <w:szCs w:val="22"/>
              </w:rPr>
            </w:pPr>
            <w:r w:rsidRPr="005B64DF">
              <w:rPr>
                <w:b/>
                <w:szCs w:val="22"/>
              </w:rPr>
              <w:t>4.</w:t>
            </w:r>
            <w:r w:rsidRPr="005B64DF">
              <w:rPr>
                <w:b/>
                <w:szCs w:val="22"/>
              </w:rPr>
              <w:tab/>
              <w:t xml:space="preserve">Date limite de soumission des notes succinctes de présentation  </w:t>
            </w:r>
          </w:p>
        </w:tc>
        <w:tc>
          <w:tcPr>
            <w:tcW w:w="2552" w:type="dxa"/>
          </w:tcPr>
          <w:p w14:paraId="6F19BEAE" w14:textId="5A1B03EB" w:rsidR="0013435B" w:rsidRPr="005B64DF" w:rsidRDefault="00146F62" w:rsidP="00146F62">
            <w:pPr>
              <w:spacing w:before="120"/>
              <w:jc w:val="center"/>
              <w:rPr>
                <w:szCs w:val="22"/>
              </w:rPr>
            </w:pPr>
            <w:r>
              <w:rPr>
                <w:szCs w:val="22"/>
              </w:rPr>
              <w:t>0</w:t>
            </w:r>
            <w:r w:rsidR="00A37017">
              <w:rPr>
                <w:szCs w:val="22"/>
              </w:rPr>
              <w:t>4</w:t>
            </w:r>
            <w:r w:rsidRPr="005B64DF">
              <w:rPr>
                <w:szCs w:val="22"/>
              </w:rPr>
              <w:t xml:space="preserve"> </w:t>
            </w:r>
            <w:r>
              <w:rPr>
                <w:szCs w:val="22"/>
              </w:rPr>
              <w:t>février</w:t>
            </w:r>
            <w:r w:rsidRPr="005B64DF">
              <w:rPr>
                <w:szCs w:val="22"/>
              </w:rPr>
              <w:t xml:space="preserve">  </w:t>
            </w:r>
            <w:r w:rsidR="00EA7D79" w:rsidRPr="005B64DF">
              <w:rPr>
                <w:szCs w:val="22"/>
              </w:rPr>
              <w:t xml:space="preserve">2025 </w:t>
            </w:r>
          </w:p>
        </w:tc>
        <w:tc>
          <w:tcPr>
            <w:tcW w:w="2551" w:type="dxa"/>
          </w:tcPr>
          <w:p w14:paraId="49B4FE37" w14:textId="77777777" w:rsidR="0013435B" w:rsidRPr="005B64DF" w:rsidRDefault="00EA7D79" w:rsidP="00EA7D79">
            <w:pPr>
              <w:spacing w:before="120"/>
              <w:jc w:val="center"/>
              <w:rPr>
                <w:szCs w:val="22"/>
              </w:rPr>
            </w:pPr>
            <w:r w:rsidRPr="005B64DF">
              <w:rPr>
                <w:szCs w:val="22"/>
              </w:rPr>
              <w:t xml:space="preserve">18 </w:t>
            </w:r>
            <w:r w:rsidR="0013435B" w:rsidRPr="005B64DF">
              <w:rPr>
                <w:szCs w:val="22"/>
              </w:rPr>
              <w:t xml:space="preserve"> Heure</w:t>
            </w:r>
            <w:r w:rsidRPr="005B64DF">
              <w:rPr>
                <w:szCs w:val="22"/>
              </w:rPr>
              <w:t>s</w:t>
            </w:r>
            <w:r w:rsidR="0013435B" w:rsidRPr="005B64DF">
              <w:rPr>
                <w:szCs w:val="22"/>
              </w:rPr>
              <w:t xml:space="preserve"> </w:t>
            </w:r>
          </w:p>
        </w:tc>
      </w:tr>
      <w:tr w:rsidR="00622381" w:rsidRPr="005B64DF" w14:paraId="1FB9751A" w14:textId="77777777" w:rsidTr="00984331">
        <w:tc>
          <w:tcPr>
            <w:tcW w:w="4678" w:type="dxa"/>
            <w:shd w:val="pct10" w:color="auto" w:fill="FFFFFF"/>
          </w:tcPr>
          <w:p w14:paraId="13069CCB" w14:textId="77777777" w:rsidR="00622381" w:rsidRPr="005B64DF" w:rsidRDefault="001C4D3A" w:rsidP="00934CBC">
            <w:pPr>
              <w:spacing w:before="120"/>
              <w:ind w:left="318" w:hanging="284"/>
              <w:jc w:val="left"/>
              <w:rPr>
                <w:b/>
                <w:szCs w:val="22"/>
              </w:rPr>
            </w:pPr>
            <w:r w:rsidRPr="005B64DF">
              <w:rPr>
                <w:b/>
                <w:szCs w:val="22"/>
              </w:rPr>
              <w:t>5.</w:t>
            </w:r>
            <w:r w:rsidRPr="005B64DF">
              <w:rPr>
                <w:b/>
                <w:szCs w:val="22"/>
              </w:rPr>
              <w:tab/>
              <w:t>Information des demandeurs chefs de file sur l’ouverture, les vérifications administratives et l’évaluation de la note succincte de présentation (étape 1)</w:t>
            </w:r>
          </w:p>
        </w:tc>
        <w:tc>
          <w:tcPr>
            <w:tcW w:w="2552" w:type="dxa"/>
          </w:tcPr>
          <w:p w14:paraId="7FB9D110" w14:textId="77777777" w:rsidR="00622381" w:rsidRPr="005B64DF" w:rsidRDefault="00EA7D79" w:rsidP="00CA2AB9">
            <w:pPr>
              <w:spacing w:before="120"/>
              <w:jc w:val="center"/>
              <w:rPr>
                <w:szCs w:val="22"/>
              </w:rPr>
            </w:pPr>
            <w:r w:rsidRPr="005B64DF">
              <w:rPr>
                <w:szCs w:val="22"/>
              </w:rPr>
              <w:t xml:space="preserve">15 mars 2025 </w:t>
            </w:r>
          </w:p>
        </w:tc>
        <w:tc>
          <w:tcPr>
            <w:tcW w:w="2551" w:type="dxa"/>
          </w:tcPr>
          <w:p w14:paraId="1696514B" w14:textId="77777777" w:rsidR="00622381" w:rsidRPr="005B64DF" w:rsidRDefault="00622381" w:rsidP="00F15864">
            <w:pPr>
              <w:spacing w:before="120"/>
              <w:jc w:val="center"/>
              <w:rPr>
                <w:szCs w:val="22"/>
              </w:rPr>
            </w:pPr>
            <w:r w:rsidRPr="005B64DF">
              <w:rPr>
                <w:szCs w:val="22"/>
              </w:rPr>
              <w:t>-</w:t>
            </w:r>
          </w:p>
        </w:tc>
      </w:tr>
      <w:tr w:rsidR="0013435B" w:rsidRPr="005B64DF" w14:paraId="1B05BCDD" w14:textId="77777777" w:rsidTr="00984331">
        <w:tc>
          <w:tcPr>
            <w:tcW w:w="4678" w:type="dxa"/>
            <w:shd w:val="pct10" w:color="auto" w:fill="FFFFFF"/>
          </w:tcPr>
          <w:p w14:paraId="28CE2B88" w14:textId="77777777" w:rsidR="0013435B" w:rsidRPr="005B64DF" w:rsidRDefault="00273299" w:rsidP="00F65B55">
            <w:pPr>
              <w:spacing w:before="120"/>
              <w:jc w:val="left"/>
              <w:rPr>
                <w:b/>
                <w:szCs w:val="22"/>
              </w:rPr>
            </w:pPr>
            <w:r w:rsidRPr="005B64DF">
              <w:rPr>
                <w:b/>
                <w:szCs w:val="22"/>
              </w:rPr>
              <w:t>6. Invitations à soumettre les demandes complètes</w:t>
            </w:r>
          </w:p>
        </w:tc>
        <w:tc>
          <w:tcPr>
            <w:tcW w:w="2552" w:type="dxa"/>
          </w:tcPr>
          <w:p w14:paraId="0868C605" w14:textId="77777777" w:rsidR="0013435B" w:rsidRPr="005B64DF" w:rsidRDefault="006F7C8F" w:rsidP="00E605DC">
            <w:pPr>
              <w:spacing w:before="120"/>
              <w:jc w:val="center"/>
              <w:rPr>
                <w:szCs w:val="22"/>
              </w:rPr>
            </w:pPr>
            <w:r w:rsidRPr="005B64DF">
              <w:rPr>
                <w:szCs w:val="22"/>
              </w:rPr>
              <w:t>24 mars 202</w:t>
            </w:r>
            <w:r w:rsidR="00813483">
              <w:rPr>
                <w:szCs w:val="22"/>
              </w:rPr>
              <w:t>5</w:t>
            </w:r>
          </w:p>
        </w:tc>
        <w:tc>
          <w:tcPr>
            <w:tcW w:w="2551" w:type="dxa"/>
          </w:tcPr>
          <w:p w14:paraId="3681577A" w14:textId="51A0C71F" w:rsidR="0013435B" w:rsidRPr="005B64DF" w:rsidRDefault="00457742" w:rsidP="00F15864">
            <w:pPr>
              <w:spacing w:before="120"/>
              <w:jc w:val="center"/>
              <w:rPr>
                <w:szCs w:val="22"/>
              </w:rPr>
            </w:pPr>
            <w:r>
              <w:rPr>
                <w:szCs w:val="22"/>
              </w:rPr>
              <w:t>18 heures</w:t>
            </w:r>
          </w:p>
        </w:tc>
      </w:tr>
      <w:tr w:rsidR="00622381" w:rsidRPr="005B64DF" w14:paraId="763BDEB1" w14:textId="77777777" w:rsidTr="00984331">
        <w:tc>
          <w:tcPr>
            <w:tcW w:w="4678" w:type="dxa"/>
            <w:shd w:val="pct10" w:color="auto" w:fill="FFFFFF"/>
          </w:tcPr>
          <w:p w14:paraId="462B2015" w14:textId="77777777" w:rsidR="00622381" w:rsidRPr="005B64DF" w:rsidRDefault="00E72707" w:rsidP="00F65B55">
            <w:pPr>
              <w:spacing w:before="120"/>
              <w:jc w:val="left"/>
              <w:rPr>
                <w:b/>
                <w:szCs w:val="22"/>
              </w:rPr>
            </w:pPr>
            <w:r w:rsidRPr="005B64DF">
              <w:rPr>
                <w:b/>
                <w:szCs w:val="22"/>
              </w:rPr>
              <w:t>7. Date limite de soumission des demandes complètes</w:t>
            </w:r>
          </w:p>
        </w:tc>
        <w:tc>
          <w:tcPr>
            <w:tcW w:w="2552" w:type="dxa"/>
          </w:tcPr>
          <w:p w14:paraId="7F7AAF80" w14:textId="77777777" w:rsidR="00622381" w:rsidRPr="005B64DF" w:rsidRDefault="006F7C8F" w:rsidP="00F15864">
            <w:pPr>
              <w:spacing w:before="120"/>
              <w:jc w:val="center"/>
              <w:rPr>
                <w:szCs w:val="22"/>
              </w:rPr>
            </w:pPr>
            <w:r w:rsidRPr="005B64DF">
              <w:rPr>
                <w:szCs w:val="22"/>
              </w:rPr>
              <w:t>8 mai 202</w:t>
            </w:r>
            <w:r w:rsidR="00813483">
              <w:rPr>
                <w:szCs w:val="22"/>
              </w:rPr>
              <w:t>5</w:t>
            </w:r>
          </w:p>
        </w:tc>
        <w:tc>
          <w:tcPr>
            <w:tcW w:w="2551" w:type="dxa"/>
          </w:tcPr>
          <w:p w14:paraId="20ABB498" w14:textId="27D5739B" w:rsidR="00622381" w:rsidRPr="005B64DF" w:rsidRDefault="00457742" w:rsidP="00F15864">
            <w:pPr>
              <w:spacing w:before="120"/>
              <w:jc w:val="center"/>
              <w:rPr>
                <w:szCs w:val="22"/>
              </w:rPr>
            </w:pPr>
            <w:r>
              <w:rPr>
                <w:szCs w:val="22"/>
              </w:rPr>
              <w:t>18 heures</w:t>
            </w:r>
          </w:p>
        </w:tc>
      </w:tr>
      <w:tr w:rsidR="00622381" w:rsidRPr="005B64DF" w14:paraId="799E6FBE" w14:textId="77777777" w:rsidTr="00984331">
        <w:tc>
          <w:tcPr>
            <w:tcW w:w="4678" w:type="dxa"/>
            <w:shd w:val="pct10" w:color="auto" w:fill="FFFFFF"/>
          </w:tcPr>
          <w:p w14:paraId="71DB2455" w14:textId="77777777" w:rsidR="00622381" w:rsidRPr="005B64DF" w:rsidRDefault="00E72707" w:rsidP="001C4D3A">
            <w:pPr>
              <w:spacing w:before="120"/>
              <w:ind w:left="318" w:hanging="284"/>
              <w:jc w:val="left"/>
              <w:rPr>
                <w:b/>
                <w:szCs w:val="22"/>
              </w:rPr>
            </w:pPr>
            <w:r w:rsidRPr="005B64DF">
              <w:rPr>
                <w:b/>
                <w:szCs w:val="22"/>
              </w:rPr>
              <w:lastRenderedPageBreak/>
              <w:t>8.</w:t>
            </w:r>
            <w:r w:rsidRPr="005B64DF">
              <w:rPr>
                <w:b/>
                <w:szCs w:val="22"/>
              </w:rPr>
              <w:tab/>
              <w:t>Information des demandeurs chefs de file concernant l’évaluation des demandes complètes (étape 2)</w:t>
            </w:r>
          </w:p>
        </w:tc>
        <w:tc>
          <w:tcPr>
            <w:tcW w:w="2552" w:type="dxa"/>
          </w:tcPr>
          <w:p w14:paraId="7F0DD0C7" w14:textId="77777777" w:rsidR="00622381" w:rsidRPr="005B64DF" w:rsidRDefault="006F7C8F" w:rsidP="00F15864">
            <w:pPr>
              <w:spacing w:before="120"/>
              <w:jc w:val="center"/>
              <w:rPr>
                <w:szCs w:val="22"/>
              </w:rPr>
            </w:pPr>
            <w:r w:rsidRPr="005B64DF">
              <w:rPr>
                <w:szCs w:val="22"/>
              </w:rPr>
              <w:t>21 juin 202</w:t>
            </w:r>
            <w:r w:rsidR="00813483">
              <w:rPr>
                <w:szCs w:val="22"/>
              </w:rPr>
              <w:t>5</w:t>
            </w:r>
          </w:p>
        </w:tc>
        <w:tc>
          <w:tcPr>
            <w:tcW w:w="2551" w:type="dxa"/>
          </w:tcPr>
          <w:p w14:paraId="500F64E4" w14:textId="77777777" w:rsidR="00622381" w:rsidRPr="005B64DF" w:rsidRDefault="00622381" w:rsidP="00F15864">
            <w:pPr>
              <w:spacing w:before="120"/>
              <w:jc w:val="center"/>
              <w:rPr>
                <w:szCs w:val="22"/>
              </w:rPr>
            </w:pPr>
            <w:r w:rsidRPr="005B64DF">
              <w:rPr>
                <w:szCs w:val="22"/>
              </w:rPr>
              <w:t>-</w:t>
            </w:r>
          </w:p>
        </w:tc>
      </w:tr>
      <w:tr w:rsidR="00415248" w:rsidRPr="005B64DF" w14:paraId="693770BC" w14:textId="77777777" w:rsidTr="00984331">
        <w:tc>
          <w:tcPr>
            <w:tcW w:w="4678" w:type="dxa"/>
            <w:shd w:val="pct10" w:color="auto" w:fill="FFFFFF"/>
          </w:tcPr>
          <w:p w14:paraId="4E31C1F6" w14:textId="77777777" w:rsidR="00415248" w:rsidRPr="005B64DF" w:rsidRDefault="00E72707" w:rsidP="001C4D3A">
            <w:pPr>
              <w:spacing w:before="120"/>
              <w:ind w:left="318" w:hanging="284"/>
              <w:jc w:val="left"/>
              <w:rPr>
                <w:b/>
                <w:szCs w:val="22"/>
              </w:rPr>
            </w:pPr>
            <w:r w:rsidRPr="005B64DF">
              <w:rPr>
                <w:b/>
                <w:szCs w:val="22"/>
              </w:rPr>
              <w:t>9.</w:t>
            </w:r>
            <w:r w:rsidRPr="005B64DF">
              <w:rPr>
                <w:b/>
                <w:szCs w:val="22"/>
              </w:rPr>
              <w:tab/>
              <w:t>Notification de l’attribution (après contrôle de l’éligibilité) (étape 3)</w:t>
            </w:r>
          </w:p>
        </w:tc>
        <w:tc>
          <w:tcPr>
            <w:tcW w:w="2552" w:type="dxa"/>
          </w:tcPr>
          <w:p w14:paraId="65EAD09C" w14:textId="77777777" w:rsidR="00415248" w:rsidRPr="005B64DF" w:rsidRDefault="003E5F21" w:rsidP="003E5F21">
            <w:pPr>
              <w:spacing w:before="120"/>
              <w:jc w:val="center"/>
              <w:rPr>
                <w:szCs w:val="22"/>
              </w:rPr>
            </w:pPr>
            <w:r w:rsidRPr="005B64DF">
              <w:rPr>
                <w:szCs w:val="22"/>
              </w:rPr>
              <w:t>30  juin 202</w:t>
            </w:r>
            <w:r w:rsidR="00813483">
              <w:rPr>
                <w:szCs w:val="22"/>
              </w:rPr>
              <w:t>5</w:t>
            </w:r>
          </w:p>
        </w:tc>
        <w:tc>
          <w:tcPr>
            <w:tcW w:w="2551" w:type="dxa"/>
          </w:tcPr>
          <w:p w14:paraId="7C51CD21" w14:textId="77777777" w:rsidR="00415248" w:rsidRPr="005B64DF" w:rsidRDefault="00415248" w:rsidP="00F15864">
            <w:pPr>
              <w:spacing w:before="120"/>
              <w:jc w:val="center"/>
              <w:rPr>
                <w:szCs w:val="22"/>
              </w:rPr>
            </w:pPr>
            <w:r w:rsidRPr="005B64DF">
              <w:rPr>
                <w:szCs w:val="22"/>
              </w:rPr>
              <w:t>-</w:t>
            </w:r>
          </w:p>
        </w:tc>
      </w:tr>
      <w:tr w:rsidR="00415248" w:rsidRPr="005B64DF" w14:paraId="571E1A36" w14:textId="77777777" w:rsidTr="00984331">
        <w:tc>
          <w:tcPr>
            <w:tcW w:w="4678" w:type="dxa"/>
            <w:shd w:val="pct10" w:color="auto" w:fill="FFFFFF"/>
          </w:tcPr>
          <w:p w14:paraId="0EECBEFB" w14:textId="77777777" w:rsidR="00415248" w:rsidRPr="005B64DF" w:rsidRDefault="00E72707" w:rsidP="00AF03C8">
            <w:pPr>
              <w:spacing w:before="120"/>
              <w:ind w:left="318" w:hanging="284"/>
              <w:jc w:val="left"/>
              <w:rPr>
                <w:b/>
                <w:szCs w:val="22"/>
              </w:rPr>
            </w:pPr>
            <w:r w:rsidRPr="005B64DF">
              <w:rPr>
                <w:b/>
                <w:szCs w:val="22"/>
              </w:rPr>
              <w:t>10. Signature du contrat</w:t>
            </w:r>
          </w:p>
        </w:tc>
        <w:tc>
          <w:tcPr>
            <w:tcW w:w="2552" w:type="dxa"/>
          </w:tcPr>
          <w:p w14:paraId="2B675F21" w14:textId="77777777" w:rsidR="00415248" w:rsidRPr="005B64DF" w:rsidRDefault="003E5F21" w:rsidP="003E5F21">
            <w:pPr>
              <w:spacing w:before="120"/>
              <w:jc w:val="center"/>
              <w:rPr>
                <w:szCs w:val="22"/>
              </w:rPr>
            </w:pPr>
            <w:r w:rsidRPr="005B64DF">
              <w:rPr>
                <w:szCs w:val="22"/>
              </w:rPr>
              <w:t>30 Septembre 202</w:t>
            </w:r>
            <w:r w:rsidR="00813483">
              <w:rPr>
                <w:szCs w:val="22"/>
              </w:rPr>
              <w:t>5</w:t>
            </w:r>
            <w:r w:rsidRPr="005B64DF" w:rsidDel="003E5F21">
              <w:rPr>
                <w:szCs w:val="22"/>
              </w:rPr>
              <w:t xml:space="preserve">  </w:t>
            </w:r>
          </w:p>
        </w:tc>
        <w:tc>
          <w:tcPr>
            <w:tcW w:w="2551" w:type="dxa"/>
          </w:tcPr>
          <w:p w14:paraId="37B93474" w14:textId="77777777" w:rsidR="00415248" w:rsidRPr="005B64DF" w:rsidRDefault="00415248" w:rsidP="00F15864">
            <w:pPr>
              <w:spacing w:before="120"/>
              <w:jc w:val="center"/>
              <w:rPr>
                <w:szCs w:val="22"/>
              </w:rPr>
            </w:pPr>
            <w:r w:rsidRPr="005B64DF">
              <w:rPr>
                <w:szCs w:val="22"/>
              </w:rPr>
              <w:t>-</w:t>
            </w:r>
          </w:p>
        </w:tc>
      </w:tr>
    </w:tbl>
    <w:p w14:paraId="38E05BD0" w14:textId="77777777" w:rsidR="00E939EC" w:rsidRPr="005B64DF" w:rsidRDefault="00415248" w:rsidP="001C4D3A">
      <w:pPr>
        <w:spacing w:before="120"/>
        <w:rPr>
          <w:szCs w:val="22"/>
        </w:rPr>
      </w:pPr>
      <w:r w:rsidRPr="005B64DF">
        <w:rPr>
          <w:szCs w:val="22"/>
        </w:rPr>
        <w:t>Toutes les heures correspondent au fuseau horaire du pays de l’administration contractante.</w:t>
      </w:r>
    </w:p>
    <w:p w14:paraId="122F1E5F" w14:textId="77777777" w:rsidR="0013435B" w:rsidRPr="005B64DF" w:rsidRDefault="00D23749" w:rsidP="00984331">
      <w:pPr>
        <w:rPr>
          <w:szCs w:val="22"/>
        </w:rPr>
      </w:pPr>
      <w:r w:rsidRPr="005B64DF">
        <w:rPr>
          <w:szCs w:val="22"/>
        </w:rPr>
        <w:t xml:space="preserve">Ce calendrier indicatif renvoie à des dates provisoires (sauf pour les dates 2, 3 et 4) et peut être mis à jour par l’administration contractante au cours de la procédure. Dans ce cas, le calendrier mis à jour sera publié sur le site internet </w:t>
      </w:r>
      <w:r w:rsidR="00CD0490" w:rsidRPr="005B64DF">
        <w:rPr>
          <w:szCs w:val="22"/>
        </w:rPr>
        <w:t xml:space="preserve">où l’appel a été publié : site web de la Direction générale des partenariats internationaux, à l’adresse suivante: </w:t>
      </w:r>
      <w:hyperlink r:id="rId38" w:history="1">
        <w:r w:rsidR="00CD0490" w:rsidRPr="005B64DF">
          <w:rPr>
            <w:rStyle w:val="Hyperlink"/>
            <w:color w:val="auto"/>
            <w:szCs w:val="22"/>
          </w:rPr>
          <w:t>https://ec.europa.eu/international-partnerships/home_fr</w:t>
        </w:r>
      </w:hyperlink>
      <w:r w:rsidR="00CD0490" w:rsidRPr="005B64DF">
        <w:rPr>
          <w:szCs w:val="22"/>
        </w:rPr>
        <w:t xml:space="preserve"> ou dans Funding &amp; Tender opportunities (portail F&amp;T) </w:t>
      </w:r>
      <w:hyperlink r:id="rId39" w:history="1">
        <w:r w:rsidR="00CD0490" w:rsidRPr="005B64DF">
          <w:rPr>
            <w:rStyle w:val="Hyperlink"/>
            <w:color w:val="auto"/>
            <w:szCs w:val="22"/>
          </w:rPr>
          <w:t>https://ec.europa.eu/info/funding-tenders/opportunities/portal/screen/home</w:t>
        </w:r>
      </w:hyperlink>
      <w:r w:rsidR="00CD0490" w:rsidRPr="005B64DF">
        <w:rPr>
          <w:szCs w:val="22"/>
        </w:rPr>
        <w:t>].</w:t>
      </w:r>
    </w:p>
    <w:p w14:paraId="34ACD3E4" w14:textId="77777777" w:rsidR="0007408E" w:rsidRPr="005B64DF" w:rsidRDefault="0007408E" w:rsidP="00575041">
      <w:pPr>
        <w:pStyle w:val="Guidelines2"/>
        <w:numPr>
          <w:ilvl w:val="1"/>
          <w:numId w:val="17"/>
        </w:numPr>
        <w:rPr>
          <w:rFonts w:ascii="Times New Roman" w:hAnsi="Times New Roman"/>
          <w:sz w:val="22"/>
          <w:szCs w:val="22"/>
        </w:rPr>
      </w:pPr>
      <w:bookmarkStart w:id="91" w:name="_Toc40507655"/>
      <w:bookmarkStart w:id="92" w:name="_Toc74830969"/>
      <w:bookmarkStart w:id="93" w:name="_Toc179890148"/>
      <w:bookmarkStart w:id="94" w:name="_Toc182404648"/>
      <w:r w:rsidRPr="005B64DF">
        <w:rPr>
          <w:rFonts w:ascii="Times New Roman" w:hAnsi="Times New Roman"/>
          <w:sz w:val="22"/>
          <w:szCs w:val="22"/>
        </w:rPr>
        <w:t>Conditions de la mise en œuvre après la décision de l’administration contractante d’attribuer une subvention</w:t>
      </w:r>
      <w:bookmarkEnd w:id="91"/>
      <w:bookmarkEnd w:id="92"/>
      <w:bookmarkEnd w:id="93"/>
      <w:bookmarkEnd w:id="94"/>
    </w:p>
    <w:p w14:paraId="6549A033" w14:textId="77777777" w:rsidR="00511FEE" w:rsidRPr="005B64DF" w:rsidRDefault="00511FEE" w:rsidP="002D4ACD">
      <w:pPr>
        <w:spacing w:after="120"/>
        <w:rPr>
          <w:szCs w:val="22"/>
        </w:rPr>
      </w:pPr>
      <w:r w:rsidRPr="005B64DF">
        <w:rPr>
          <w:szCs w:val="22"/>
        </w:rPr>
        <w:t>Une fois que la décision a été prise d’attribuer une subvention, le ou les bénéficiaires se voient proposer un contrat basé sur le contrat type de subvention (annexe G des présentes lignes directrices). En signant le formulaire de demande (annexe A des présentes lignes directrices), les demandeurs acceptent, si la subvention leur est attribuée, les conditions contractuelles du contrat type de subvention. Si le coordonnateur est une organisation dont les piliers ont été évalués positivement, il signe une convention de contribution fondée sur le contrat type de contribution. Dans ce cas, les références aux dispositions du contrat type de subvention et de ses annexes ne s’appliquent pas. Les références, dans les présentes lignes directrices, au contrat de subvention s’entendent comme des références aux dispositions pertinentes de la convention de contribution.</w:t>
      </w:r>
    </w:p>
    <w:p w14:paraId="5493C494" w14:textId="77777777" w:rsidR="00FD5A29" w:rsidRPr="005B64DF" w:rsidRDefault="00FD5A29" w:rsidP="00FD5A29">
      <w:pPr>
        <w:spacing w:before="240"/>
        <w:rPr>
          <w:szCs w:val="22"/>
          <w:u w:val="single"/>
        </w:rPr>
      </w:pPr>
      <w:r w:rsidRPr="005B64DF">
        <w:rPr>
          <w:szCs w:val="22"/>
          <w:u w:val="single"/>
        </w:rPr>
        <w:t>Marchés d’exécution</w:t>
      </w:r>
    </w:p>
    <w:p w14:paraId="43E94BDD" w14:textId="77777777" w:rsidR="0007408E" w:rsidRPr="005B64DF" w:rsidRDefault="0007408E" w:rsidP="00984331">
      <w:pPr>
        <w:rPr>
          <w:szCs w:val="22"/>
        </w:rPr>
      </w:pPr>
      <w:r w:rsidRPr="005B64DF">
        <w:rPr>
          <w:szCs w:val="22"/>
        </w:rPr>
        <w:t>Lorsque la mise en œuvre d’une action nécessite la passation de marchés par le ou les bénéficiaires et les éventuelles entités affiliées, ces marchés doivent être attribués conformément à l’annexe IV du contrat type de subvention.</w:t>
      </w:r>
    </w:p>
    <w:p w14:paraId="68103EEA" w14:textId="77777777" w:rsidR="00FD5A29" w:rsidRPr="005B64DF" w:rsidRDefault="00FD5A29" w:rsidP="00FD5A29">
      <w:pPr>
        <w:rPr>
          <w:szCs w:val="22"/>
        </w:rPr>
      </w:pPr>
      <w:r w:rsidRPr="005B64DF">
        <w:rPr>
          <w:szCs w:val="22"/>
        </w:rPr>
        <w:t xml:space="preserve">Dans ce contexte, il convient d’opérer une distinction entre l’attribution de marchés d’exécution et la sous-traitance de parties de l’action décrite dans la proposition, à savoir dans la description de l’action jointe au contrat de subvention, cette sous-traitance étant soumise à des restrictions supplémentaires (voir les conditions générales figurant dans le contrat type de subvention).  </w:t>
      </w:r>
    </w:p>
    <w:p w14:paraId="524A8AD9" w14:textId="77777777" w:rsidR="00FD5A29" w:rsidRPr="005B64DF" w:rsidRDefault="00FD5A29" w:rsidP="00FD5A29">
      <w:pPr>
        <w:rPr>
          <w:szCs w:val="22"/>
        </w:rPr>
      </w:pPr>
      <w:r w:rsidRPr="005B64DF">
        <w:rPr>
          <w:szCs w:val="22"/>
        </w:rPr>
        <w:t xml:space="preserve">Attribution de marchés d’exécution: les marchés d’exécution concernent l’acquisition, par les bénéficiaires, de services courants et/ou de biens et d’équipements nécessaires dans le cadre de leur gestion de projet; ils ne couvrent pas l’externalisation de tâches qui font partie de l’action et qui sont décrites dans la proposition, à savoir dans la description de l’action jointe au contrat de subvention. </w:t>
      </w:r>
    </w:p>
    <w:p w14:paraId="10BD79A2" w14:textId="77777777" w:rsidR="00FD5A29" w:rsidRPr="005B64DF" w:rsidRDefault="00FD5A29" w:rsidP="00FD5A29">
      <w:pPr>
        <w:rPr>
          <w:szCs w:val="22"/>
        </w:rPr>
      </w:pPr>
      <w:r w:rsidRPr="005B64DF">
        <w:rPr>
          <w:szCs w:val="22"/>
        </w:rPr>
        <w:t xml:space="preserve">Sous-traitance: la sous-traitance est l’exécution, par un tiers auquel un ou plusieurs bénéficiaires ont attribué un marché, de tâches spécifiques faisant partie de l’action telle que décrite dans l’annexe du contrat de subvention (voir également les modalités et conditions générales figurant dans le contrat type de subvention). </w:t>
      </w:r>
    </w:p>
    <w:p w14:paraId="4FEFE450" w14:textId="77777777" w:rsidR="00FD5A29" w:rsidRPr="005B64DF" w:rsidRDefault="00FD5A29" w:rsidP="00984331">
      <w:pPr>
        <w:rPr>
          <w:szCs w:val="22"/>
        </w:rPr>
      </w:pPr>
    </w:p>
    <w:p w14:paraId="4116AE33" w14:textId="77777777" w:rsidR="0007408E" w:rsidRPr="005B64DF" w:rsidRDefault="00267E4F" w:rsidP="00E76DF7">
      <w:pPr>
        <w:pStyle w:val="Guidelines1"/>
      </w:pPr>
      <w:bookmarkStart w:id="95" w:name="_Toc40507656"/>
      <w:r w:rsidRPr="005B64DF">
        <w:br w:type="page"/>
      </w:r>
      <w:bookmarkStart w:id="96" w:name="_Toc74830970"/>
      <w:bookmarkStart w:id="97" w:name="_Toc179890149"/>
      <w:bookmarkStart w:id="98" w:name="_Toc182404649"/>
      <w:r w:rsidRPr="005B64DF">
        <w:lastRenderedPageBreak/>
        <w:t>LISTE DES annexes</w:t>
      </w:r>
      <w:bookmarkEnd w:id="95"/>
      <w:bookmarkEnd w:id="96"/>
      <w:bookmarkEnd w:id="97"/>
      <w:bookmarkEnd w:id="98"/>
    </w:p>
    <w:p w14:paraId="1E25ABE7" w14:textId="77777777" w:rsidR="00112E4F" w:rsidRPr="005B64DF" w:rsidRDefault="00112E4F" w:rsidP="00600738">
      <w:pPr>
        <w:rPr>
          <w:b/>
          <w:smallCaps/>
          <w:szCs w:val="22"/>
        </w:rPr>
      </w:pPr>
      <w:bookmarkStart w:id="99" w:name="_Toc40507657"/>
      <w:r w:rsidRPr="005B64DF">
        <w:rPr>
          <w:b/>
          <w:smallCaps/>
          <w:szCs w:val="22"/>
        </w:rPr>
        <w:t>Documents à compléter</w:t>
      </w:r>
    </w:p>
    <w:p w14:paraId="26407A70" w14:textId="77777777" w:rsidR="0007408E" w:rsidRPr="005B64DF" w:rsidRDefault="0007408E" w:rsidP="001C4D3A">
      <w:pPr>
        <w:spacing w:after="80"/>
        <w:ind w:left="1134" w:hanging="1134"/>
        <w:rPr>
          <w:szCs w:val="22"/>
        </w:rPr>
      </w:pPr>
      <w:r w:rsidRPr="005B64DF">
        <w:rPr>
          <w:szCs w:val="22"/>
        </w:rPr>
        <w:t>Annexe A:</w:t>
      </w:r>
      <w:r w:rsidRPr="005B64DF">
        <w:rPr>
          <w:szCs w:val="22"/>
        </w:rPr>
        <w:tab/>
        <w:t>formulaire de demande de subvention (format Word)</w:t>
      </w:r>
      <w:bookmarkEnd w:id="99"/>
    </w:p>
    <w:p w14:paraId="12A5D309" w14:textId="77777777" w:rsidR="00964FB0" w:rsidRPr="005B64DF" w:rsidRDefault="00964FB0" w:rsidP="001C4D3A">
      <w:pPr>
        <w:spacing w:after="80"/>
        <w:ind w:left="1134" w:hanging="1134"/>
        <w:rPr>
          <w:szCs w:val="22"/>
        </w:rPr>
      </w:pPr>
      <w:r w:rsidRPr="005B64DF">
        <w:rPr>
          <w:szCs w:val="22"/>
        </w:rPr>
        <w:tab/>
        <w:t>A.1 — note succincte de présentation</w:t>
      </w:r>
    </w:p>
    <w:p w14:paraId="7E9DCA85" w14:textId="77777777" w:rsidR="00964FB0" w:rsidRPr="005B64DF" w:rsidRDefault="00964FB0" w:rsidP="001C4D3A">
      <w:pPr>
        <w:spacing w:after="80"/>
        <w:ind w:left="1134" w:hanging="1134"/>
        <w:rPr>
          <w:szCs w:val="22"/>
        </w:rPr>
      </w:pPr>
      <w:r w:rsidRPr="005B64DF">
        <w:rPr>
          <w:szCs w:val="22"/>
        </w:rPr>
        <w:tab/>
        <w:t>A.2 — formulaire de demande complète</w:t>
      </w:r>
    </w:p>
    <w:p w14:paraId="066F50BF" w14:textId="77777777" w:rsidR="008D553A" w:rsidRPr="005B64DF" w:rsidRDefault="00600738" w:rsidP="001C4D3A">
      <w:pPr>
        <w:spacing w:after="80"/>
        <w:ind w:left="1134" w:hanging="1134"/>
        <w:rPr>
          <w:szCs w:val="22"/>
        </w:rPr>
      </w:pPr>
      <w:bookmarkStart w:id="100" w:name="_Toc40507658"/>
      <w:r w:rsidRPr="005B64DF">
        <w:rPr>
          <w:szCs w:val="22"/>
        </w:rPr>
        <w:t>Annexe B:</w:t>
      </w:r>
      <w:r w:rsidRPr="005B64DF">
        <w:rPr>
          <w:szCs w:val="22"/>
        </w:rPr>
        <w:tab/>
        <w:t>budget (format Excel)</w:t>
      </w:r>
      <w:bookmarkEnd w:id="100"/>
    </w:p>
    <w:p w14:paraId="77796FBF" w14:textId="77777777" w:rsidR="0007408E" w:rsidRPr="005B64DF" w:rsidRDefault="0007408E" w:rsidP="001C4D3A">
      <w:pPr>
        <w:spacing w:after="80"/>
        <w:ind w:left="1134" w:hanging="1134"/>
        <w:rPr>
          <w:szCs w:val="22"/>
        </w:rPr>
      </w:pPr>
      <w:bookmarkStart w:id="101" w:name="_Toc40507659"/>
      <w:r w:rsidRPr="005B64DF">
        <w:rPr>
          <w:szCs w:val="22"/>
        </w:rPr>
        <w:t>Annexe C:</w:t>
      </w:r>
      <w:r w:rsidRPr="005B64DF">
        <w:rPr>
          <w:szCs w:val="22"/>
        </w:rPr>
        <w:tab/>
        <w:t>cadre logique (format Excel)</w:t>
      </w:r>
      <w:bookmarkEnd w:id="101"/>
    </w:p>
    <w:p w14:paraId="08C0F3B7" w14:textId="77777777" w:rsidR="0079640D" w:rsidRPr="005B64DF" w:rsidRDefault="0007408E" w:rsidP="001C4D3A">
      <w:pPr>
        <w:spacing w:after="80"/>
        <w:ind w:left="1134" w:hanging="1134"/>
        <w:rPr>
          <w:szCs w:val="22"/>
        </w:rPr>
      </w:pPr>
      <w:bookmarkStart w:id="102" w:name="_Toc40507660"/>
      <w:r w:rsidRPr="005B64DF">
        <w:rPr>
          <w:szCs w:val="22"/>
        </w:rPr>
        <w:t>Annexe D:</w:t>
      </w:r>
      <w:bookmarkEnd w:id="102"/>
      <w:r w:rsidRPr="005B64DF">
        <w:rPr>
          <w:szCs w:val="22"/>
        </w:rPr>
        <w:tab/>
        <w:t>formulaire «entité légale»</w:t>
      </w:r>
      <w:bookmarkStart w:id="103" w:name="_Toc40507661"/>
    </w:p>
    <w:p w14:paraId="6D527ABC" w14:textId="77777777" w:rsidR="00872E67" w:rsidRPr="005B64DF" w:rsidRDefault="00872E67" w:rsidP="001C4D3A">
      <w:pPr>
        <w:spacing w:after="80"/>
        <w:ind w:left="1134" w:hanging="1134"/>
        <w:rPr>
          <w:szCs w:val="22"/>
        </w:rPr>
      </w:pPr>
      <w:r w:rsidRPr="005B64DF">
        <w:rPr>
          <w:szCs w:val="22"/>
        </w:rPr>
        <w:t>Annexe E:</w:t>
      </w:r>
      <w:r w:rsidRPr="005B64DF">
        <w:rPr>
          <w:szCs w:val="22"/>
        </w:rPr>
        <w:tab/>
        <w:t>formulaire «signalétique financier»</w:t>
      </w:r>
    </w:p>
    <w:p w14:paraId="103B7489" w14:textId="77777777" w:rsidR="00C64EA0" w:rsidRPr="005B64DF" w:rsidRDefault="00C64EA0" w:rsidP="001C4D3A">
      <w:pPr>
        <w:spacing w:after="80"/>
        <w:ind w:left="1134" w:hanging="1134"/>
        <w:rPr>
          <w:szCs w:val="22"/>
        </w:rPr>
      </w:pPr>
      <w:bookmarkStart w:id="104" w:name="_Hlk522123000"/>
      <w:bookmarkStart w:id="105" w:name="OLE_LINK3"/>
      <w:r w:rsidRPr="005B64DF">
        <w:rPr>
          <w:szCs w:val="22"/>
        </w:rPr>
        <w:t xml:space="preserve">Annexe F: </w:t>
      </w:r>
      <w:r w:rsidRPr="005B64DF">
        <w:rPr>
          <w:szCs w:val="22"/>
        </w:rPr>
        <w:tab/>
        <w:t xml:space="preserve">formulaire d’enregistrement PADOR </w:t>
      </w:r>
      <w:bookmarkEnd w:id="104"/>
      <w:bookmarkEnd w:id="105"/>
    </w:p>
    <w:p w14:paraId="53F27785" w14:textId="77777777" w:rsidR="000D46D7" w:rsidRPr="005B64DF" w:rsidRDefault="000D46D7" w:rsidP="000D46D7">
      <w:pPr>
        <w:spacing w:after="80"/>
        <w:ind w:left="1134" w:hanging="1134"/>
        <w:rPr>
          <w:szCs w:val="22"/>
        </w:rPr>
      </w:pPr>
    </w:p>
    <w:p w14:paraId="17E01BA9" w14:textId="77777777" w:rsidR="000D46D7" w:rsidRPr="005B64DF" w:rsidRDefault="000D46D7" w:rsidP="001C4D3A">
      <w:pPr>
        <w:spacing w:after="80"/>
        <w:ind w:left="1134" w:hanging="1134"/>
        <w:rPr>
          <w:szCs w:val="22"/>
        </w:rPr>
      </w:pPr>
    </w:p>
    <w:p w14:paraId="0B91DCEB" w14:textId="77777777" w:rsidR="00112E4F" w:rsidRPr="005B64DF" w:rsidRDefault="00112E4F" w:rsidP="00600738">
      <w:pPr>
        <w:spacing w:before="240"/>
        <w:rPr>
          <w:b/>
          <w:smallCaps/>
          <w:szCs w:val="22"/>
        </w:rPr>
      </w:pPr>
      <w:r w:rsidRPr="005B64DF">
        <w:rPr>
          <w:b/>
          <w:smallCaps/>
          <w:szCs w:val="22"/>
        </w:rPr>
        <w:t>DOCUMENTS POUR INFORMATION</w:t>
      </w:r>
      <w:r w:rsidR="0025435C" w:rsidRPr="005B64DF">
        <w:rPr>
          <w:rStyle w:val="FootnoteReference"/>
          <w:b/>
          <w:smallCaps/>
          <w:sz w:val="22"/>
          <w:szCs w:val="22"/>
        </w:rPr>
        <w:footnoteReference w:id="16"/>
      </w:r>
    </w:p>
    <w:p w14:paraId="75D4D186" w14:textId="77777777" w:rsidR="00293A81" w:rsidRPr="005B64DF" w:rsidRDefault="0007408E" w:rsidP="00293A81">
      <w:pPr>
        <w:spacing w:after="120"/>
        <w:ind w:left="1134" w:hanging="1134"/>
        <w:rPr>
          <w:szCs w:val="22"/>
        </w:rPr>
      </w:pPr>
      <w:r w:rsidRPr="005B64DF">
        <w:rPr>
          <w:szCs w:val="22"/>
        </w:rPr>
        <w:t>Annexe G:</w:t>
      </w:r>
      <w:r w:rsidRPr="005B64DF">
        <w:rPr>
          <w:szCs w:val="22"/>
        </w:rPr>
        <w:tab/>
        <w:t>contrat type de subvention</w:t>
      </w:r>
    </w:p>
    <w:bookmarkEnd w:id="103"/>
    <w:p w14:paraId="0076FDB1" w14:textId="77777777" w:rsidR="00946471" w:rsidRPr="005B64DF" w:rsidRDefault="005677E7" w:rsidP="00BC0D86">
      <w:pPr>
        <w:tabs>
          <w:tab w:val="left" w:pos="567"/>
          <w:tab w:val="left" w:pos="1701"/>
        </w:tabs>
        <w:spacing w:after="0"/>
        <w:ind w:left="1701" w:hanging="1276"/>
        <w:rPr>
          <w:szCs w:val="22"/>
        </w:rPr>
      </w:pPr>
      <w:r w:rsidRPr="005B64DF">
        <w:rPr>
          <w:szCs w:val="22"/>
        </w:rPr>
        <w:t>-</w:t>
      </w:r>
      <w:r w:rsidRPr="005B64DF">
        <w:rPr>
          <w:szCs w:val="22"/>
        </w:rPr>
        <w:tab/>
        <w:t>Annexe II:</w:t>
      </w:r>
      <w:r w:rsidRPr="005B64DF">
        <w:rPr>
          <w:szCs w:val="22"/>
        </w:rPr>
        <w:tab/>
        <w:t xml:space="preserve">conditions générales </w:t>
      </w:r>
    </w:p>
    <w:p w14:paraId="6FEF1417" w14:textId="77777777" w:rsidR="00946471" w:rsidRPr="005B64DF" w:rsidRDefault="005677E7" w:rsidP="00BC0D86">
      <w:pPr>
        <w:tabs>
          <w:tab w:val="left" w:pos="567"/>
          <w:tab w:val="left" w:pos="1701"/>
        </w:tabs>
        <w:spacing w:after="0"/>
        <w:ind w:left="1701" w:hanging="1276"/>
        <w:rPr>
          <w:szCs w:val="22"/>
        </w:rPr>
      </w:pPr>
      <w:r w:rsidRPr="005B64DF">
        <w:rPr>
          <w:szCs w:val="22"/>
        </w:rPr>
        <w:t>-</w:t>
      </w:r>
      <w:r w:rsidRPr="005B64DF">
        <w:rPr>
          <w:szCs w:val="22"/>
        </w:rPr>
        <w:tab/>
        <w:t>Annexe IV:</w:t>
      </w:r>
      <w:r w:rsidRPr="005B64DF">
        <w:rPr>
          <w:szCs w:val="22"/>
        </w:rPr>
        <w:tab/>
        <w:t>règles d’attribution des marchés</w:t>
      </w:r>
    </w:p>
    <w:p w14:paraId="41E29750" w14:textId="77777777" w:rsidR="00946471" w:rsidRPr="005B64DF" w:rsidRDefault="005677E7" w:rsidP="00BC0D86">
      <w:pPr>
        <w:tabs>
          <w:tab w:val="left" w:pos="567"/>
          <w:tab w:val="left" w:pos="1701"/>
        </w:tabs>
        <w:spacing w:after="0"/>
        <w:ind w:left="1701" w:hanging="1276"/>
        <w:rPr>
          <w:szCs w:val="22"/>
        </w:rPr>
      </w:pPr>
      <w:r w:rsidRPr="005B64DF">
        <w:rPr>
          <w:szCs w:val="22"/>
        </w:rPr>
        <w:t>-</w:t>
      </w:r>
      <w:r w:rsidRPr="005B64DF">
        <w:rPr>
          <w:szCs w:val="22"/>
        </w:rPr>
        <w:tab/>
        <w:t>Annexe V:</w:t>
      </w:r>
      <w:r w:rsidRPr="005B64DF">
        <w:rPr>
          <w:szCs w:val="22"/>
        </w:rPr>
        <w:tab/>
        <w:t>demande standard de paiement</w:t>
      </w:r>
    </w:p>
    <w:p w14:paraId="2CD3BF17" w14:textId="77777777" w:rsidR="00946471" w:rsidRPr="005B64DF" w:rsidRDefault="005677E7" w:rsidP="00BC0D86">
      <w:pPr>
        <w:tabs>
          <w:tab w:val="left" w:pos="567"/>
          <w:tab w:val="left" w:pos="1701"/>
        </w:tabs>
        <w:spacing w:after="0"/>
        <w:ind w:left="1701" w:hanging="1276"/>
        <w:rPr>
          <w:szCs w:val="22"/>
        </w:rPr>
      </w:pPr>
      <w:r w:rsidRPr="005B64DF">
        <w:rPr>
          <w:szCs w:val="22"/>
        </w:rPr>
        <w:t>-</w:t>
      </w:r>
      <w:r w:rsidRPr="005B64DF">
        <w:rPr>
          <w:szCs w:val="22"/>
        </w:rPr>
        <w:tab/>
        <w:t>Annexe VI:</w:t>
      </w:r>
      <w:r w:rsidRPr="005B64DF">
        <w:rPr>
          <w:szCs w:val="22"/>
        </w:rPr>
        <w:tab/>
        <w:t>modèle de rapport narratif et financier</w:t>
      </w:r>
    </w:p>
    <w:p w14:paraId="5256A5D4" w14:textId="77777777" w:rsidR="00946471" w:rsidRPr="005B64DF" w:rsidRDefault="00600738" w:rsidP="00BC0D86">
      <w:pPr>
        <w:tabs>
          <w:tab w:val="left" w:pos="567"/>
          <w:tab w:val="left" w:pos="1701"/>
        </w:tabs>
        <w:spacing w:after="0"/>
        <w:ind w:left="1701" w:hanging="1276"/>
        <w:rPr>
          <w:szCs w:val="22"/>
        </w:rPr>
      </w:pPr>
      <w:r w:rsidRPr="005B64DF">
        <w:rPr>
          <w:szCs w:val="22"/>
        </w:rPr>
        <w:t>Annexe VII:</w:t>
      </w:r>
      <w:r w:rsidRPr="005B64DF">
        <w:rPr>
          <w:szCs w:val="22"/>
        </w:rPr>
        <w:tab/>
        <w:t>modèle de rapport de constatations factuelles et de termes de référence pour une vérification des dépenses d’un contrat de subvention conclu dans le cadre des actions extérieures de l’UE</w:t>
      </w:r>
    </w:p>
    <w:p w14:paraId="61249300" w14:textId="77777777" w:rsidR="005677E7" w:rsidRPr="005B64DF" w:rsidRDefault="005677E7" w:rsidP="00BC0D86">
      <w:pPr>
        <w:tabs>
          <w:tab w:val="left" w:pos="567"/>
          <w:tab w:val="left" w:pos="1701"/>
        </w:tabs>
        <w:spacing w:after="0"/>
        <w:ind w:left="1701" w:hanging="1276"/>
        <w:rPr>
          <w:szCs w:val="22"/>
        </w:rPr>
      </w:pPr>
      <w:r w:rsidRPr="005B64DF">
        <w:rPr>
          <w:szCs w:val="22"/>
        </w:rPr>
        <w:t>[-Annexe VIII:</w:t>
      </w:r>
      <w:r w:rsidRPr="005B64DF">
        <w:rPr>
          <w:szCs w:val="22"/>
        </w:rPr>
        <w:tab/>
        <w:t>modèle de garantie financière]</w:t>
      </w:r>
    </w:p>
    <w:p w14:paraId="532850CC" w14:textId="77777777" w:rsidR="003F023E" w:rsidRPr="005B64DF" w:rsidRDefault="003F023E" w:rsidP="00BC0D86">
      <w:pPr>
        <w:tabs>
          <w:tab w:val="left" w:pos="567"/>
          <w:tab w:val="left" w:pos="1701"/>
        </w:tabs>
        <w:spacing w:after="0"/>
        <w:ind w:left="1701" w:hanging="1276"/>
        <w:rPr>
          <w:szCs w:val="22"/>
        </w:rPr>
      </w:pPr>
      <w:r w:rsidRPr="005B64DF">
        <w:rPr>
          <w:szCs w:val="22"/>
        </w:rPr>
        <w:t>Annexe IX: modèle standard de transfert de propriété des actifs</w:t>
      </w:r>
    </w:p>
    <w:p w14:paraId="4CB08E3B" w14:textId="77777777" w:rsidR="003F023E" w:rsidRPr="005B64DF" w:rsidRDefault="003F023E" w:rsidP="00BA6979">
      <w:pPr>
        <w:tabs>
          <w:tab w:val="left" w:pos="567"/>
          <w:tab w:val="left" w:pos="1701"/>
        </w:tabs>
        <w:spacing w:after="0"/>
        <w:rPr>
          <w:szCs w:val="22"/>
        </w:rPr>
      </w:pPr>
    </w:p>
    <w:p w14:paraId="2C4D4B65" w14:textId="77777777" w:rsidR="002573AC" w:rsidRPr="005B64DF" w:rsidRDefault="002573AC" w:rsidP="00BC0D86">
      <w:pPr>
        <w:tabs>
          <w:tab w:val="left" w:pos="567"/>
          <w:tab w:val="left" w:pos="1701"/>
        </w:tabs>
        <w:spacing w:after="0"/>
        <w:ind w:left="1701" w:hanging="1276"/>
        <w:rPr>
          <w:szCs w:val="22"/>
        </w:rPr>
      </w:pPr>
    </w:p>
    <w:p w14:paraId="2C5232FD" w14:textId="77777777" w:rsidR="0048369D" w:rsidRPr="005B64DF" w:rsidRDefault="0048369D" w:rsidP="001C4D3A">
      <w:pPr>
        <w:tabs>
          <w:tab w:val="left" w:pos="567"/>
          <w:tab w:val="left" w:pos="1701"/>
        </w:tabs>
        <w:spacing w:after="0"/>
        <w:rPr>
          <w:szCs w:val="22"/>
        </w:rPr>
      </w:pPr>
    </w:p>
    <w:p w14:paraId="687AF0D2" w14:textId="77777777" w:rsidR="007941FB" w:rsidRPr="005B64DF" w:rsidRDefault="00112E4F" w:rsidP="001C4D3A">
      <w:pPr>
        <w:tabs>
          <w:tab w:val="left" w:pos="1134"/>
        </w:tabs>
        <w:spacing w:after="120"/>
        <w:ind w:left="1134" w:hanging="1134"/>
        <w:jc w:val="left"/>
        <w:rPr>
          <w:szCs w:val="22"/>
        </w:rPr>
      </w:pPr>
      <w:r w:rsidRPr="005B64DF">
        <w:rPr>
          <w:szCs w:val="22"/>
        </w:rPr>
        <w:t>Annexe H:    déclaration sur l’honneur</w:t>
      </w:r>
      <w:r w:rsidRPr="005B64DF">
        <w:rPr>
          <w:szCs w:val="22"/>
        </w:rPr>
        <w:tab/>
      </w:r>
    </w:p>
    <w:p w14:paraId="4F758B1E" w14:textId="77777777" w:rsidR="00151EDE" w:rsidRPr="005B64DF" w:rsidRDefault="007941FB" w:rsidP="001C4D3A">
      <w:pPr>
        <w:tabs>
          <w:tab w:val="left" w:pos="1134"/>
        </w:tabs>
        <w:spacing w:after="120"/>
        <w:ind w:left="1134" w:hanging="1134"/>
        <w:jc w:val="left"/>
        <w:rPr>
          <w:szCs w:val="22"/>
        </w:rPr>
      </w:pPr>
      <w:r w:rsidRPr="005B64DF">
        <w:rPr>
          <w:szCs w:val="22"/>
        </w:rPr>
        <w:t xml:space="preserve">Annexe I:      taux des indemnités journalières (per diem), disponibles à l’adresse suivante: </w:t>
      </w:r>
      <w:hyperlink r:id="rId40" w:history="1">
        <w:r w:rsidR="006328A5" w:rsidRPr="005B64DF">
          <w:rPr>
            <w:rStyle w:val="Hyperlink"/>
            <w:color w:val="auto"/>
            <w:szCs w:val="22"/>
          </w:rPr>
          <w:t>https://webgate.ec.europa.eu/prospect</w:t>
        </w:r>
      </w:hyperlink>
      <w:bookmarkStart w:id="106" w:name="_Toc216513983"/>
      <w:r w:rsidR="00151EDE" w:rsidRPr="005B64DF">
        <w:rPr>
          <w:szCs w:val="22"/>
        </w:rPr>
        <w:t>Annexe J:</w:t>
      </w:r>
      <w:r w:rsidR="00151EDE" w:rsidRPr="005B64DF">
        <w:rPr>
          <w:szCs w:val="22"/>
        </w:rPr>
        <w:tab/>
        <w:t>informations relatives au régime fiscal applicable aux contrats de subvention signés dans le cadre de l’appel à propositions</w:t>
      </w:r>
    </w:p>
    <w:p w14:paraId="6B66EE24" w14:textId="77777777" w:rsidR="00211B8D" w:rsidRPr="005B64DF" w:rsidRDefault="00600738" w:rsidP="001C4D3A">
      <w:pPr>
        <w:tabs>
          <w:tab w:val="left" w:pos="1134"/>
        </w:tabs>
        <w:spacing w:after="0"/>
        <w:ind w:left="1134" w:hanging="1134"/>
        <w:jc w:val="left"/>
        <w:rPr>
          <w:szCs w:val="22"/>
        </w:rPr>
      </w:pPr>
      <w:r w:rsidRPr="005B64DF">
        <w:rPr>
          <w:szCs w:val="22"/>
        </w:rPr>
        <w:t>Annexe K:</w:t>
      </w:r>
      <w:r w:rsidRPr="005B64DF">
        <w:rPr>
          <w:szCs w:val="22"/>
        </w:rPr>
        <w:tab/>
        <w:t>lignes directrices pour l’évaluation des options simplifiées en matière de coûts</w:t>
      </w:r>
    </w:p>
    <w:p w14:paraId="66CAB8A9" w14:textId="77777777" w:rsidR="00FF4778" w:rsidRPr="005B64DF" w:rsidRDefault="00FF4778" w:rsidP="001C4D3A">
      <w:pPr>
        <w:tabs>
          <w:tab w:val="left" w:pos="1134"/>
        </w:tabs>
        <w:spacing w:after="0"/>
        <w:ind w:left="1134" w:hanging="1134"/>
        <w:jc w:val="left"/>
        <w:rPr>
          <w:szCs w:val="22"/>
        </w:rPr>
      </w:pPr>
    </w:p>
    <w:p w14:paraId="0A1B26A8" w14:textId="77777777" w:rsidR="00FF4778" w:rsidRPr="005B64DF" w:rsidRDefault="0041369D" w:rsidP="001C4D3A">
      <w:pPr>
        <w:tabs>
          <w:tab w:val="left" w:pos="1134"/>
        </w:tabs>
        <w:spacing w:after="0"/>
        <w:ind w:left="1134" w:hanging="1134"/>
        <w:jc w:val="left"/>
        <w:rPr>
          <w:szCs w:val="22"/>
        </w:rPr>
      </w:pPr>
      <w:r w:rsidRPr="005B64DF">
        <w:rPr>
          <w:szCs w:val="22"/>
        </w:rPr>
        <w:t>Annexe L:     questionnaire d’auto-évaluation sur la lutte contre l’exploitation, les abus et le harcèlement sexuels</w:t>
      </w:r>
    </w:p>
    <w:p w14:paraId="4EA6A6CA" w14:textId="77777777" w:rsidR="00DA0F6C" w:rsidRPr="005B64DF" w:rsidRDefault="00DA0F6C" w:rsidP="001C4D3A">
      <w:pPr>
        <w:tabs>
          <w:tab w:val="left" w:pos="1134"/>
        </w:tabs>
        <w:spacing w:after="0"/>
        <w:ind w:left="1134" w:hanging="1134"/>
        <w:jc w:val="left"/>
        <w:rPr>
          <w:szCs w:val="22"/>
          <w:lang w:val="fr-BE"/>
        </w:rPr>
      </w:pPr>
    </w:p>
    <w:p w14:paraId="6A597037" w14:textId="77777777" w:rsidR="006F4ACD" w:rsidRPr="005B64DF" w:rsidRDefault="006F4ACD" w:rsidP="002D4ACD">
      <w:pPr>
        <w:spacing w:before="240"/>
        <w:jc w:val="left"/>
        <w:rPr>
          <w:b/>
          <w:szCs w:val="22"/>
        </w:rPr>
      </w:pPr>
      <w:bookmarkStart w:id="107" w:name="_Toc216513984"/>
      <w:bookmarkEnd w:id="106"/>
      <w:r w:rsidRPr="005B64DF">
        <w:rPr>
          <w:b/>
          <w:szCs w:val="22"/>
        </w:rPr>
        <w:t>Liens utiles:</w:t>
      </w:r>
    </w:p>
    <w:p w14:paraId="0432F036" w14:textId="77777777" w:rsidR="00345514" w:rsidRPr="005B64DF" w:rsidRDefault="00345514" w:rsidP="001C4D3A">
      <w:pPr>
        <w:spacing w:after="0"/>
        <w:jc w:val="left"/>
        <w:rPr>
          <w:b/>
          <w:szCs w:val="22"/>
        </w:rPr>
      </w:pPr>
      <w:r w:rsidRPr="005B64DF">
        <w:rPr>
          <w:b/>
          <w:szCs w:val="22"/>
        </w:rPr>
        <w:t>Lignes directrices de gestion du cycle du projet</w:t>
      </w:r>
      <w:bookmarkEnd w:id="107"/>
      <w:r w:rsidRPr="005B64DF">
        <w:rPr>
          <w:b/>
          <w:szCs w:val="22"/>
        </w:rPr>
        <w:t xml:space="preserve"> </w:t>
      </w:r>
    </w:p>
    <w:p w14:paraId="3135EF41" w14:textId="77777777" w:rsidR="00362E0D" w:rsidRPr="005B64DF" w:rsidRDefault="00D73631" w:rsidP="00BA6979">
      <w:pPr>
        <w:pStyle w:val="ListParagraph"/>
        <w:spacing w:after="0"/>
        <w:ind w:left="0"/>
        <w:jc w:val="left"/>
        <w:rPr>
          <w:szCs w:val="22"/>
        </w:rPr>
      </w:pPr>
      <w:hyperlink r:id="rId41" w:history="1">
        <w:r w:rsidR="00AF7147" w:rsidRPr="005B64DF">
          <w:rPr>
            <w:rStyle w:val="Hyperlink"/>
            <w:color w:val="auto"/>
            <w:szCs w:val="22"/>
          </w:rPr>
          <w:t>https://ec.europa.eu/international-partnerships/funding/managing-project_fr</w:t>
        </w:r>
      </w:hyperlink>
      <w:r w:rsidR="00AF7147" w:rsidRPr="005B64DF">
        <w:rPr>
          <w:szCs w:val="22"/>
        </w:rPr>
        <w:t xml:space="preserve"> </w:t>
      </w:r>
    </w:p>
    <w:p w14:paraId="7D286DD2" w14:textId="77777777" w:rsidR="00034524" w:rsidRPr="005B64DF" w:rsidRDefault="00BB518F" w:rsidP="001C4D3A">
      <w:pPr>
        <w:spacing w:before="120" w:after="120"/>
        <w:jc w:val="left"/>
        <w:rPr>
          <w:b/>
          <w:szCs w:val="22"/>
        </w:rPr>
      </w:pPr>
      <w:r w:rsidRPr="005B64DF">
        <w:rPr>
          <w:b/>
          <w:szCs w:val="22"/>
        </w:rPr>
        <w:t>Exécution des contrats de subvention</w:t>
      </w:r>
    </w:p>
    <w:p w14:paraId="130A0FFF" w14:textId="77777777" w:rsidR="00BB518F" w:rsidRPr="005B64DF" w:rsidRDefault="00BB518F" w:rsidP="001C4D3A">
      <w:pPr>
        <w:spacing w:after="0"/>
        <w:jc w:val="left"/>
        <w:rPr>
          <w:b/>
          <w:szCs w:val="22"/>
        </w:rPr>
      </w:pPr>
      <w:r w:rsidRPr="005B64DF">
        <w:rPr>
          <w:b/>
          <w:szCs w:val="22"/>
        </w:rPr>
        <w:t>Guide de l’utilisateur</w:t>
      </w:r>
    </w:p>
    <w:p w14:paraId="0414631C" w14:textId="77777777" w:rsidR="001E10DA" w:rsidRPr="005B64DF" w:rsidRDefault="00D73631" w:rsidP="001C4D3A">
      <w:pPr>
        <w:spacing w:before="120" w:after="0"/>
        <w:jc w:val="left"/>
        <w:rPr>
          <w:b/>
          <w:szCs w:val="22"/>
        </w:rPr>
      </w:pPr>
      <w:hyperlink r:id="rId42" w:history="1">
        <w:r w:rsidR="006328A5" w:rsidRPr="005B64DF">
          <w:rPr>
            <w:rStyle w:val="Hyperlink"/>
            <w:color w:val="auto"/>
            <w:szCs w:val="22"/>
          </w:rPr>
          <w:t>19. Exécution des contrats de subvention – Guide de l’utilisateur - EXACT External Wiki - FR - EC Public Wiki (europa.eu)</w:t>
        </w:r>
      </w:hyperlink>
      <w:r w:rsidR="001E10DA" w:rsidRPr="005B64DF">
        <w:rPr>
          <w:b/>
          <w:szCs w:val="22"/>
        </w:rPr>
        <w:t>Boîte à outils financière</w:t>
      </w:r>
      <w:r w:rsidR="001E10DA" w:rsidRPr="005B64DF">
        <w:rPr>
          <w:b/>
          <w:szCs w:val="22"/>
        </w:rPr>
        <w:tab/>
      </w:r>
    </w:p>
    <w:p w14:paraId="1D2AE8DD" w14:textId="77777777" w:rsidR="00362E0D" w:rsidRPr="005B64DF" w:rsidRDefault="00D73631" w:rsidP="00BA6979">
      <w:pPr>
        <w:pStyle w:val="ListParagraph"/>
        <w:spacing w:after="0"/>
        <w:ind w:left="0"/>
        <w:jc w:val="left"/>
        <w:rPr>
          <w:szCs w:val="22"/>
        </w:rPr>
      </w:pPr>
      <w:hyperlink r:id="rId43" w:history="1">
        <w:r w:rsidR="00AF7147" w:rsidRPr="005B64DF">
          <w:rPr>
            <w:rStyle w:val="Hyperlink"/>
            <w:color w:val="auto"/>
            <w:szCs w:val="22"/>
          </w:rPr>
          <w:t>https://ec.europa.eu/international-partnerships/financial-management-toolkit_en</w:t>
        </w:r>
      </w:hyperlink>
      <w:r w:rsidR="00AF7147" w:rsidRPr="005B64DF">
        <w:rPr>
          <w:szCs w:val="22"/>
        </w:rPr>
        <w:t xml:space="preserve"> </w:t>
      </w:r>
    </w:p>
    <w:p w14:paraId="123428E6" w14:textId="77777777" w:rsidR="001C4D3A" w:rsidRPr="005B64DF" w:rsidRDefault="00197634" w:rsidP="001C4D3A">
      <w:pPr>
        <w:spacing w:after="0"/>
        <w:rPr>
          <w:iCs/>
          <w:szCs w:val="22"/>
        </w:rPr>
      </w:pPr>
      <w:r w:rsidRPr="005B64DF">
        <w:rPr>
          <w:iCs/>
          <w:szCs w:val="22"/>
        </w:rPr>
        <w:t>Note: la boîte à outils ne fait pas partie du contrat de subvention et n’a pas de valeur légale. Elle offre simplement des orientations générales et peut différer, sur certains détails, du contrat de subvention signé. Afin de garantir le respect de leurs obligations contractuelles, les bénéficiaires ne devraient pas se fier uniquement au manuel, mais toujours consulter les documents contractuels qui les concernent.</w:t>
      </w:r>
    </w:p>
    <w:p w14:paraId="7611C563" w14:textId="77777777" w:rsidR="002573AC" w:rsidRPr="005B64DF" w:rsidRDefault="005D7AF3" w:rsidP="001C4D3A">
      <w:pPr>
        <w:spacing w:after="0"/>
        <w:jc w:val="center"/>
        <w:rPr>
          <w:b/>
          <w:szCs w:val="22"/>
        </w:rPr>
      </w:pPr>
      <w:r w:rsidRPr="005B64DF">
        <w:rPr>
          <w:szCs w:val="22"/>
        </w:rPr>
        <w:t>* * *</w:t>
      </w:r>
    </w:p>
    <w:sectPr w:rsidR="002573AC" w:rsidRPr="005B64DF" w:rsidSect="001B29BA">
      <w:footerReference w:type="first" r:id="rId44"/>
      <w:pgSz w:w="11906" w:h="16838" w:code="9"/>
      <w:pgMar w:top="1440" w:right="1440" w:bottom="1440" w:left="1440" w:header="567" w:footer="54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532DC" w14:textId="77777777" w:rsidR="00D73631" w:rsidRDefault="00D73631">
      <w:r>
        <w:separator/>
      </w:r>
    </w:p>
    <w:p w14:paraId="495D068D" w14:textId="77777777" w:rsidR="00D73631" w:rsidRDefault="00D73631"/>
  </w:endnote>
  <w:endnote w:type="continuationSeparator" w:id="0">
    <w:p w14:paraId="42CDC03C" w14:textId="77777777" w:rsidR="00D73631" w:rsidRDefault="00D73631">
      <w:r>
        <w:continuationSeparator/>
      </w:r>
    </w:p>
    <w:p w14:paraId="6A549B9B" w14:textId="77777777" w:rsidR="00D73631" w:rsidRDefault="00D73631"/>
  </w:endnote>
  <w:endnote w:type="continuationNotice" w:id="1">
    <w:p w14:paraId="6C63DF0F" w14:textId="77777777" w:rsidR="00D73631" w:rsidRDefault="00D73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BA67" w14:textId="77777777" w:rsidR="00C554EF" w:rsidRDefault="00C55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FD40" w14:textId="50FD3EEA" w:rsidR="00C554EF" w:rsidRPr="00D1302A" w:rsidRDefault="00C554EF" w:rsidP="00F451F3">
    <w:pPr>
      <w:pStyle w:val="Heading2"/>
      <w:numPr>
        <w:ilvl w:val="0"/>
        <w:numId w:val="0"/>
      </w:numPr>
      <w:tabs>
        <w:tab w:val="right" w:pos="9639"/>
      </w:tabs>
      <w:spacing w:after="0"/>
      <w:ind w:left="283" w:hanging="283"/>
      <w:rPr>
        <w:sz w:val="18"/>
        <w:szCs w:val="18"/>
        <w:lang w:val="en-GB"/>
      </w:rPr>
    </w:pPr>
    <w:r w:rsidRPr="00D1302A">
      <w:rPr>
        <w:sz w:val="18"/>
        <w:lang w:val="en-GB"/>
      </w:rPr>
      <w:t>EuropeAid/</w:t>
    </w:r>
    <w:r w:rsidRPr="00D1302A">
      <w:rPr>
        <w:sz w:val="18"/>
        <w:szCs w:val="18"/>
        <w:lang w:val="en-GB"/>
      </w:rPr>
      <w:t>183021 /DH/ACT/</w:t>
    </w:r>
    <w:r w:rsidRPr="00D1302A">
      <w:rPr>
        <w:sz w:val="18"/>
        <w:szCs w:val="18"/>
        <w:lang w:val="en-GB"/>
      </w:rPr>
      <w:tab/>
      <w:t>Page </w:t>
    </w:r>
    <w:r w:rsidRPr="00F451F3">
      <w:rPr>
        <w:sz w:val="18"/>
        <w:szCs w:val="18"/>
        <w:lang w:val="fr-BE"/>
      </w:rPr>
      <w:fldChar w:fldCharType="begin"/>
    </w:r>
    <w:r w:rsidRPr="00F451F3">
      <w:rPr>
        <w:sz w:val="18"/>
        <w:szCs w:val="18"/>
        <w:lang w:val="en-US"/>
      </w:rPr>
      <w:instrText xml:space="preserve"> PAGE   \* MERGEFORMAT </w:instrText>
    </w:r>
    <w:r w:rsidRPr="00F451F3">
      <w:rPr>
        <w:sz w:val="18"/>
        <w:szCs w:val="18"/>
        <w:lang w:val="fr-BE"/>
      </w:rPr>
      <w:fldChar w:fldCharType="separate"/>
    </w:r>
    <w:r w:rsidR="0052034A">
      <w:rPr>
        <w:noProof/>
        <w:sz w:val="18"/>
        <w:szCs w:val="18"/>
        <w:lang w:val="en-US"/>
      </w:rPr>
      <w:t>12</w:t>
    </w:r>
    <w:r w:rsidRPr="00F451F3">
      <w:rPr>
        <w:sz w:val="18"/>
        <w:szCs w:val="18"/>
        <w:lang w:val="fr-BE"/>
      </w:rPr>
      <w:fldChar w:fldCharType="end"/>
    </w:r>
    <w:r w:rsidRPr="00D1302A">
      <w:rPr>
        <w:sz w:val="18"/>
        <w:szCs w:val="18"/>
        <w:lang w:val="en-GB"/>
      </w:rPr>
      <w:t xml:space="preserve"> sur </w:t>
    </w:r>
    <w:r w:rsidRPr="00F451F3">
      <w:rPr>
        <w:sz w:val="18"/>
        <w:szCs w:val="18"/>
        <w:lang w:val="fr-BE"/>
      </w:rPr>
      <w:fldChar w:fldCharType="begin"/>
    </w:r>
    <w:r w:rsidRPr="00D1302A">
      <w:rPr>
        <w:sz w:val="18"/>
        <w:szCs w:val="18"/>
        <w:lang w:val="en-GB"/>
      </w:rPr>
      <w:instrText xml:space="preserve"> NUMPAGES   \* MERGEFORMAT </w:instrText>
    </w:r>
    <w:r w:rsidRPr="00F451F3">
      <w:rPr>
        <w:sz w:val="18"/>
        <w:szCs w:val="18"/>
        <w:lang w:val="fr-BE"/>
      </w:rPr>
      <w:fldChar w:fldCharType="separate"/>
    </w:r>
    <w:r w:rsidR="0052034A">
      <w:rPr>
        <w:noProof/>
        <w:sz w:val="18"/>
        <w:szCs w:val="18"/>
        <w:lang w:val="en-GB"/>
      </w:rPr>
      <w:t>40</w:t>
    </w:r>
    <w:r w:rsidRPr="00F451F3">
      <w:rPr>
        <w:sz w:val="18"/>
        <w:szCs w:val="18"/>
        <w:lang w:val="fr-BE"/>
      </w:rPr>
      <w:fldChar w:fldCharType="end"/>
    </w:r>
  </w:p>
  <w:p w14:paraId="4C855EBC" w14:textId="1326855F" w:rsidR="00C554EF" w:rsidRPr="00D1302A" w:rsidRDefault="00C554EF" w:rsidP="00DF6F65">
    <w:pPr>
      <w:pStyle w:val="Footer"/>
      <w:tabs>
        <w:tab w:val="right" w:pos="9639"/>
      </w:tabs>
      <w:spacing w:after="0"/>
      <w:rPr>
        <w:rFonts w:ascii="Times New Roman" w:hAnsi="Times New Roman"/>
        <w:sz w:val="18"/>
        <w:szCs w:val="18"/>
        <w:lang w:val="en-GB"/>
      </w:rPr>
    </w:pPr>
    <w:r w:rsidRPr="00D1302A">
      <w:rPr>
        <w:rFonts w:ascii="Times New Roman" w:hAnsi="Times New Roman"/>
        <w:b/>
        <w:sz w:val="18"/>
        <w:szCs w:val="18"/>
        <w:lang w:val="en-GB"/>
      </w:rPr>
      <w:t xml:space="preserve">2021.1 </w:t>
    </w:r>
    <w:r w:rsidRPr="00F451F3">
      <w:rPr>
        <w:rFonts w:ascii="Times New Roman" w:hAnsi="Times New Roman"/>
        <w:sz w:val="18"/>
        <w:szCs w:val="18"/>
        <w:lang w:val="fr-BE"/>
      </w:rPr>
      <w:fldChar w:fldCharType="begin"/>
    </w:r>
    <w:r w:rsidRPr="00F451F3">
      <w:rPr>
        <w:rFonts w:ascii="Times New Roman" w:hAnsi="Times New Roman"/>
        <w:bCs/>
        <w:sz w:val="18"/>
        <w:szCs w:val="18"/>
        <w:lang w:val="en-IE"/>
      </w:rPr>
      <w:instrText xml:space="preserve"> FILENAME </w:instrText>
    </w:r>
    <w:r w:rsidRPr="00F451F3">
      <w:rPr>
        <w:rFonts w:ascii="Times New Roman" w:hAnsi="Times New Roman"/>
        <w:sz w:val="18"/>
        <w:szCs w:val="18"/>
        <w:lang w:val="fr-BE"/>
      </w:rPr>
      <w:fldChar w:fldCharType="separate"/>
    </w:r>
    <w:r>
      <w:rPr>
        <w:rFonts w:ascii="Times New Roman" w:hAnsi="Times New Roman"/>
        <w:bCs/>
        <w:noProof/>
        <w:sz w:val="18"/>
        <w:szCs w:val="18"/>
        <w:lang w:val="en-IE"/>
      </w:rPr>
      <w:t xml:space="preserve">OSC 2024 LD </w:t>
    </w:r>
    <w:r w:rsidRPr="00F451F3">
      <w:rPr>
        <w:rFonts w:ascii="Times New Roman" w:hAnsi="Times New Roman"/>
        <w:sz w:val="18"/>
        <w:szCs w:val="18"/>
        <w:lang w:val="fr-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E927" w14:textId="77777777" w:rsidR="00C554EF" w:rsidRPr="007179DD" w:rsidRDefault="00C554EF" w:rsidP="00DF6F65">
    <w:pPr>
      <w:pStyle w:val="Footer"/>
      <w:tabs>
        <w:tab w:val="right" w:pos="9639"/>
      </w:tabs>
      <w:spacing w:after="0"/>
      <w:rPr>
        <w:rFonts w:ascii="Times New Roman" w:hAnsi="Times New Roman"/>
        <w:b/>
        <w:sz w:val="18"/>
        <w:szCs w:val="18"/>
        <w:lang w:val="en-US"/>
      </w:rPr>
    </w:pPr>
    <w:r w:rsidRPr="007179DD">
      <w:rPr>
        <w:rFonts w:ascii="Times New Roman" w:hAnsi="Times New Roman"/>
        <w:b/>
        <w:sz w:val="18"/>
        <w:szCs w:val="18"/>
        <w:lang w:val="en-US"/>
      </w:rPr>
      <w:t>EuropeAid/</w:t>
    </w:r>
    <w:r w:rsidRPr="00D1302A">
      <w:rPr>
        <w:sz w:val="18"/>
        <w:szCs w:val="18"/>
        <w:lang w:val="en-GB"/>
      </w:rPr>
      <w:t>183021</w:t>
    </w:r>
    <w:r w:rsidRPr="007179DD">
      <w:rPr>
        <w:rFonts w:ascii="Times New Roman" w:hAnsi="Times New Roman"/>
        <w:b/>
        <w:sz w:val="18"/>
        <w:szCs w:val="18"/>
        <w:lang w:val="en-US"/>
      </w:rPr>
      <w:t>/</w:t>
    </w:r>
    <w:r w:rsidRPr="007179DD">
      <w:rPr>
        <w:rFonts w:ascii="Times New Roman" w:hAnsi="Times New Roman"/>
        <w:b/>
        <w:noProof/>
        <w:sz w:val="18"/>
        <w:szCs w:val="18"/>
        <w:lang w:val="en-US"/>
      </w:rPr>
      <w:t>DH</w:t>
    </w:r>
    <w:r w:rsidRPr="007179DD">
      <w:rPr>
        <w:rFonts w:ascii="Times New Roman" w:hAnsi="Times New Roman"/>
        <w:b/>
        <w:sz w:val="18"/>
        <w:szCs w:val="18"/>
        <w:lang w:val="en-US"/>
      </w:rPr>
      <w:t>/</w:t>
    </w:r>
    <w:r w:rsidRPr="007179DD">
      <w:rPr>
        <w:rFonts w:ascii="Times New Roman" w:hAnsi="Times New Roman"/>
        <w:b/>
        <w:noProof/>
        <w:sz w:val="18"/>
        <w:szCs w:val="18"/>
        <w:lang w:val="en-US"/>
      </w:rPr>
      <w:t>ACT</w:t>
    </w:r>
    <w:r w:rsidRPr="007179DD">
      <w:rPr>
        <w:rFonts w:ascii="Times New Roman" w:hAnsi="Times New Roman"/>
        <w:b/>
        <w:sz w:val="18"/>
        <w:szCs w:val="18"/>
        <w:lang w:val="en-US"/>
      </w:rPr>
      <w:t>/</w:t>
    </w:r>
  </w:p>
  <w:p w14:paraId="249A629F" w14:textId="261646BB" w:rsidR="00C554EF" w:rsidRPr="009D1003" w:rsidRDefault="00C554EF" w:rsidP="00DF6F65">
    <w:pPr>
      <w:pStyle w:val="Footer"/>
      <w:tabs>
        <w:tab w:val="right" w:pos="9639"/>
      </w:tabs>
      <w:spacing w:after="0"/>
      <w:rPr>
        <w:rFonts w:ascii="Times New Roman" w:hAnsi="Times New Roman"/>
        <w:sz w:val="18"/>
        <w:szCs w:val="18"/>
        <w:lang w:val="en-IE"/>
      </w:rPr>
    </w:pPr>
    <w:r w:rsidRPr="009D1003">
      <w:rPr>
        <w:rFonts w:ascii="Times New Roman" w:hAnsi="Times New Roman"/>
        <w:b/>
        <w:sz w:val="18"/>
        <w:szCs w:val="18"/>
        <w:lang w:val="en-IE"/>
      </w:rPr>
      <w:t>2021.</w:t>
    </w:r>
    <w:r>
      <w:rPr>
        <w:rFonts w:ascii="Times New Roman" w:hAnsi="Times New Roman"/>
        <w:b/>
        <w:sz w:val="18"/>
        <w:szCs w:val="18"/>
        <w:lang w:val="en-IE"/>
      </w:rPr>
      <w:t>1</w:t>
    </w:r>
    <w:r w:rsidRPr="009D1003">
      <w:rPr>
        <w:rFonts w:ascii="Times New Roman" w:hAnsi="Times New Roman"/>
        <w:b/>
        <w:sz w:val="18"/>
        <w:szCs w:val="18"/>
        <w:lang w:val="en-IE"/>
      </w:rPr>
      <w:t xml:space="preserve"> </w:t>
    </w:r>
    <w:r w:rsidRPr="009D1003">
      <w:rPr>
        <w:rFonts w:ascii="Times New Roman" w:hAnsi="Times New Roman"/>
        <w:bCs/>
        <w:sz w:val="18"/>
        <w:szCs w:val="18"/>
        <w:lang w:val="en-IE"/>
      </w:rPr>
      <w:fldChar w:fldCharType="begin"/>
    </w:r>
    <w:r w:rsidRPr="009D1003">
      <w:rPr>
        <w:rFonts w:ascii="Times New Roman" w:hAnsi="Times New Roman"/>
        <w:bCs/>
        <w:sz w:val="18"/>
        <w:szCs w:val="18"/>
        <w:lang w:val="en-IE"/>
      </w:rPr>
      <w:instrText xml:space="preserve"> FILENAME </w:instrText>
    </w:r>
    <w:r w:rsidRPr="009D1003">
      <w:rPr>
        <w:rFonts w:ascii="Times New Roman" w:hAnsi="Times New Roman"/>
        <w:bCs/>
        <w:sz w:val="18"/>
        <w:szCs w:val="18"/>
        <w:lang w:val="en-IE"/>
      </w:rPr>
      <w:fldChar w:fldCharType="separate"/>
    </w:r>
    <w:r>
      <w:rPr>
        <w:rFonts w:ascii="Times New Roman" w:hAnsi="Times New Roman"/>
        <w:bCs/>
        <w:noProof/>
        <w:sz w:val="18"/>
        <w:szCs w:val="18"/>
        <w:lang w:val="en-IE"/>
      </w:rPr>
      <w:t xml:space="preserve">  OSC 2024 LD </w:t>
    </w:r>
    <w:r w:rsidRPr="009D1003">
      <w:rPr>
        <w:rFonts w:ascii="Times New Roman" w:hAnsi="Times New Roman"/>
        <w:bCs/>
        <w:sz w:val="18"/>
        <w:szCs w:val="18"/>
        <w:lang w:val="en-I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747F" w14:textId="691A3F5B" w:rsidR="00C554EF" w:rsidRPr="00D1302A" w:rsidRDefault="00C554EF" w:rsidP="00491F8A">
    <w:pPr>
      <w:pStyle w:val="Footer"/>
      <w:tabs>
        <w:tab w:val="right" w:pos="9639"/>
      </w:tabs>
      <w:spacing w:after="0"/>
      <w:rPr>
        <w:rFonts w:ascii="Times New Roman" w:hAnsi="Times New Roman"/>
        <w:sz w:val="18"/>
        <w:lang w:val="en-GB"/>
      </w:rPr>
    </w:pPr>
    <w:r w:rsidRPr="00D1302A">
      <w:rPr>
        <w:rFonts w:ascii="Times New Roman" w:hAnsi="Times New Roman"/>
        <w:b/>
        <w:sz w:val="18"/>
        <w:lang w:val="en-GB"/>
      </w:rPr>
      <w:t>EuropeAid/183021 /DH/ACT/</w:t>
    </w:r>
    <w:r w:rsidRPr="00D1302A">
      <w:rPr>
        <w:rFonts w:ascii="Times New Roman" w:hAnsi="Times New Roman"/>
        <w:sz w:val="18"/>
        <w:lang w:val="en-GB"/>
      </w:rPr>
      <w:tab/>
      <w:t>Page </w:t>
    </w:r>
    <w:r w:rsidRPr="006C52AA">
      <w:rPr>
        <w:rFonts w:ascii="Times New Roman" w:hAnsi="Times New Roman"/>
        <w:sz w:val="18"/>
        <w:lang w:val="fr-BE"/>
      </w:rPr>
      <w:fldChar w:fldCharType="begin"/>
    </w:r>
    <w:r w:rsidRPr="00D1302A">
      <w:rPr>
        <w:rFonts w:ascii="Times New Roman" w:hAnsi="Times New Roman"/>
        <w:sz w:val="18"/>
        <w:lang w:val="en-GB"/>
      </w:rPr>
      <w:instrText xml:space="preserve"> PAGE   \* MERGEFORMAT </w:instrText>
    </w:r>
    <w:r w:rsidRPr="006C52AA">
      <w:rPr>
        <w:rFonts w:ascii="Times New Roman" w:hAnsi="Times New Roman"/>
        <w:sz w:val="18"/>
        <w:lang w:val="fr-BE"/>
      </w:rPr>
      <w:fldChar w:fldCharType="separate"/>
    </w:r>
    <w:r w:rsidR="0052034A" w:rsidRPr="0052034A">
      <w:rPr>
        <w:rFonts w:ascii="Times New Roman" w:hAnsi="Times New Roman"/>
        <w:noProof/>
        <w:sz w:val="18"/>
        <w:lang w:val="en-US"/>
      </w:rPr>
      <w:t>3</w:t>
    </w:r>
    <w:r w:rsidRPr="006C52AA">
      <w:rPr>
        <w:rFonts w:ascii="Times New Roman" w:hAnsi="Times New Roman"/>
        <w:sz w:val="18"/>
        <w:lang w:val="fr-BE"/>
      </w:rPr>
      <w:fldChar w:fldCharType="end"/>
    </w:r>
    <w:r w:rsidRPr="00D1302A">
      <w:rPr>
        <w:rFonts w:ascii="Times New Roman" w:hAnsi="Times New Roman"/>
        <w:sz w:val="18"/>
        <w:lang w:val="en-GB"/>
      </w:rPr>
      <w:t xml:space="preserve"> sur </w:t>
    </w:r>
    <w:r w:rsidRPr="006C52AA">
      <w:rPr>
        <w:rFonts w:ascii="Times New Roman" w:hAnsi="Times New Roman"/>
        <w:sz w:val="18"/>
        <w:lang w:val="fr-BE"/>
      </w:rPr>
      <w:fldChar w:fldCharType="begin"/>
    </w:r>
    <w:r w:rsidRPr="00D1302A">
      <w:rPr>
        <w:rFonts w:ascii="Times New Roman" w:hAnsi="Times New Roman"/>
        <w:sz w:val="18"/>
        <w:lang w:val="en-GB"/>
      </w:rPr>
      <w:instrText xml:space="preserve"> NUMPAGES   \* MERGEFORMAT </w:instrText>
    </w:r>
    <w:r w:rsidRPr="006C52AA">
      <w:rPr>
        <w:rFonts w:ascii="Times New Roman" w:hAnsi="Times New Roman"/>
        <w:sz w:val="18"/>
        <w:lang w:val="fr-BE"/>
      </w:rPr>
      <w:fldChar w:fldCharType="separate"/>
    </w:r>
    <w:r w:rsidR="0052034A" w:rsidRPr="0052034A">
      <w:rPr>
        <w:rFonts w:ascii="Times New Roman" w:hAnsi="Times New Roman"/>
        <w:noProof/>
        <w:sz w:val="18"/>
        <w:szCs w:val="18"/>
        <w:lang w:val="en-GB"/>
      </w:rPr>
      <w:t>40</w:t>
    </w:r>
    <w:r w:rsidRPr="006C52AA">
      <w:rPr>
        <w:rFonts w:ascii="Times New Roman" w:hAnsi="Times New Roman"/>
        <w:sz w:val="18"/>
        <w:lang w:val="fr-BE"/>
      </w:rPr>
      <w:fldChar w:fldCharType="end"/>
    </w:r>
  </w:p>
  <w:p w14:paraId="6F050E11" w14:textId="3D7A11CD" w:rsidR="00C554EF" w:rsidRPr="00D1302A" w:rsidRDefault="00C554EF" w:rsidP="00491F8A">
    <w:pPr>
      <w:pStyle w:val="Footer"/>
      <w:tabs>
        <w:tab w:val="right" w:pos="9639"/>
      </w:tabs>
      <w:spacing w:after="0"/>
      <w:rPr>
        <w:rFonts w:ascii="Times New Roman" w:hAnsi="Times New Roman"/>
        <w:sz w:val="18"/>
        <w:lang w:val="en-GB"/>
      </w:rPr>
    </w:pPr>
    <w:r w:rsidRPr="00D1302A">
      <w:rPr>
        <w:rFonts w:ascii="Times New Roman" w:hAnsi="Times New Roman"/>
        <w:b/>
        <w:sz w:val="18"/>
        <w:lang w:val="en-GB"/>
      </w:rPr>
      <w:t xml:space="preserve">2021.1 </w:t>
    </w:r>
    <w:r w:rsidRPr="006C52AA">
      <w:rPr>
        <w:rFonts w:ascii="Times New Roman" w:hAnsi="Times New Roman"/>
        <w:sz w:val="18"/>
        <w:lang w:val="fr-BE"/>
      </w:rPr>
      <w:fldChar w:fldCharType="begin"/>
    </w:r>
    <w:r w:rsidRPr="009D1003">
      <w:rPr>
        <w:rFonts w:ascii="Times New Roman" w:hAnsi="Times New Roman"/>
        <w:bCs/>
        <w:sz w:val="18"/>
        <w:szCs w:val="18"/>
        <w:lang w:val="en-IE"/>
      </w:rPr>
      <w:instrText xml:space="preserve"> FILENAME </w:instrText>
    </w:r>
    <w:r w:rsidRPr="006C52AA">
      <w:rPr>
        <w:rFonts w:ascii="Times New Roman" w:hAnsi="Times New Roman"/>
        <w:sz w:val="18"/>
        <w:lang w:val="fr-BE"/>
      </w:rPr>
      <w:fldChar w:fldCharType="separate"/>
    </w:r>
    <w:r>
      <w:rPr>
        <w:rFonts w:ascii="Times New Roman" w:hAnsi="Times New Roman"/>
        <w:bCs/>
        <w:noProof/>
        <w:sz w:val="18"/>
        <w:szCs w:val="18"/>
        <w:lang w:val="en-IE"/>
      </w:rPr>
      <w:t xml:space="preserve">  OSC 2024 LD </w:t>
    </w:r>
    <w:r w:rsidRPr="006C52AA">
      <w:rPr>
        <w:rFonts w:ascii="Times New Roman" w:hAnsi="Times New Roman"/>
        <w:sz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1E536" w14:textId="77777777" w:rsidR="00D73631" w:rsidRDefault="00D73631" w:rsidP="00F53E16">
      <w:pPr>
        <w:spacing w:before="120" w:after="0"/>
      </w:pPr>
      <w:r>
        <w:separator/>
      </w:r>
    </w:p>
  </w:footnote>
  <w:footnote w:type="continuationSeparator" w:id="0">
    <w:p w14:paraId="0C462848" w14:textId="77777777" w:rsidR="00D73631" w:rsidRDefault="00D73631">
      <w:r>
        <w:continuationSeparator/>
      </w:r>
    </w:p>
  </w:footnote>
  <w:footnote w:type="continuationNotice" w:id="1">
    <w:p w14:paraId="3679E248" w14:textId="77777777" w:rsidR="00D73631" w:rsidRPr="004D357E" w:rsidRDefault="00D73631" w:rsidP="004D357E">
      <w:pPr>
        <w:pStyle w:val="Footer"/>
      </w:pPr>
    </w:p>
  </w:footnote>
  <w:footnote w:id="2">
    <w:p w14:paraId="77373F1F" w14:textId="77777777" w:rsidR="00C554EF" w:rsidRDefault="00C554EF" w:rsidP="00E77485">
      <w:pPr>
        <w:pStyle w:val="FootnoteText"/>
      </w:pPr>
      <w:r>
        <w:rPr>
          <w:rStyle w:val="FootnoteReference"/>
        </w:rPr>
        <w:footnoteRef/>
      </w:r>
      <w:r>
        <w:t xml:space="preserve"> La soumission en ligne via PROSPECT est obligatoire pour le présent appel à propositions (voir section 2.2.2). Dans PROSPECT, toutes les dates et heures sont exprimées en heure de Bruxelles. Les demandeurs doivent noter que le soutien informatique est ouvert du lundi au vendredi de 8h30 à 18h30, heure de Bruxelles (sauf pendant les jours fériés de la Commission européenne en Belgique tels que publiés au Journal officiel). Les demandeurs doivent tenir compte des heures de maintenance hebdomadaires mentionnées dans le manuel de l’utilisateur PROSPECT.</w:t>
      </w:r>
    </w:p>
  </w:footnote>
  <w:footnote w:id="3">
    <w:p w14:paraId="1D7D756F" w14:textId="77777777" w:rsidR="00C554EF" w:rsidRDefault="00C554EF" w:rsidP="00475BDA">
      <w:pPr>
        <w:pStyle w:val="FootnoteText"/>
      </w:pPr>
      <w:r>
        <w:rPr>
          <w:rStyle w:val="FootnoteReference"/>
        </w:rPr>
        <w:footnoteRef/>
      </w:r>
      <w:r>
        <w:t xml:space="preserve"> Exemple d’outil de conversion horaire disponible en ligne: </w:t>
      </w:r>
      <w:hyperlink r:id="rId1" w:history="1">
        <w:r>
          <w:rPr>
            <w:rStyle w:val="Hyperlink"/>
          </w:rPr>
          <w:t>http://www.timeanddate.com/worldclock/converter.html</w:t>
        </w:r>
      </w:hyperlink>
    </w:p>
  </w:footnote>
  <w:footnote w:id="4">
    <w:p w14:paraId="710EEFD3" w14:textId="77777777" w:rsidR="00C554EF" w:rsidRDefault="00C554EF" w:rsidP="00475BDA">
      <w:pPr>
        <w:pStyle w:val="FootnoteText"/>
      </w:pPr>
      <w:r>
        <w:rPr>
          <w:rStyle w:val="FootnoteReference"/>
        </w:rPr>
        <w:footnoteRef/>
      </w:r>
      <w:r>
        <w:t xml:space="preserve"> Si PROSPECT est indisponible, le soutien informatique peut également être contacté par courriel à l’adresse: </w:t>
      </w:r>
      <w:hyperlink r:id="rId2" w:history="1">
        <w:r>
          <w:rPr>
            <w:rStyle w:val="Hyperlink"/>
          </w:rPr>
          <w:t>INTPA-SUPPORT-SERVICES@ec.europa.eu</w:t>
        </w:r>
      </w:hyperlink>
    </w:p>
  </w:footnote>
  <w:footnote w:id="5">
    <w:p w14:paraId="65135CF3" w14:textId="77777777" w:rsidR="00C554EF" w:rsidRDefault="00C554EF" w:rsidP="00855943">
      <w:pPr>
        <w:spacing w:after="0"/>
      </w:pPr>
      <w:r w:rsidRPr="00C9266C">
        <w:rPr>
          <w:rStyle w:val="FootnoteReference"/>
          <w:sz w:val="20"/>
        </w:rPr>
        <w:footnoteRef/>
      </w:r>
      <w:r w:rsidRPr="00102B37">
        <w:rPr>
          <w:sz w:val="20"/>
          <w:lang w:val="fr-BE"/>
        </w:rPr>
        <w:t xml:space="preserve"> Feuille de route de l’engagement de l’UE envers la société civile au Sénégal 2021-2024 (</w:t>
      </w:r>
      <w:hyperlink r:id="rId3" w:history="1">
        <w:r w:rsidRPr="00102B37">
          <w:rPr>
            <w:rStyle w:val="Hyperlink"/>
            <w:sz w:val="20"/>
            <w:lang w:val="fr-BE"/>
          </w:rPr>
          <w:t>https://www.eeas.europa.eu/delegations/s%C3%A9n%C3%A9gal/feuille-de-route-pour-lengagement-de-lue-avec-la-soci%C3%A9t%C3%A9-civile-senegal-2021_fr?s=117</w:t>
        </w:r>
      </w:hyperlink>
      <w:r w:rsidRPr="00102B37">
        <w:rPr>
          <w:sz w:val="20"/>
          <w:lang w:val="fr-BE"/>
        </w:rPr>
        <w:t xml:space="preserve">) </w:t>
      </w:r>
    </w:p>
  </w:footnote>
  <w:footnote w:id="6">
    <w:p w14:paraId="1540B670" w14:textId="54F7DF8E" w:rsidR="00C554EF" w:rsidRPr="00492560" w:rsidRDefault="00C554EF">
      <w:pPr>
        <w:pStyle w:val="FootnoteText"/>
      </w:pPr>
      <w:r>
        <w:rPr>
          <w:rStyle w:val="FootnoteReference"/>
        </w:rPr>
        <w:footnoteRef/>
      </w:r>
      <w:r w:rsidRPr="00A074B0">
        <w:t>https://commission.europa.eu/strategy-and-policy/priorities-2019-2024/stronger-europe-world/global-gateway_en</w:t>
      </w:r>
    </w:p>
  </w:footnote>
  <w:footnote w:id="7">
    <w:p w14:paraId="32E1B450" w14:textId="77777777" w:rsidR="00C554EF" w:rsidRDefault="00C554EF" w:rsidP="00475BDA">
      <w:pPr>
        <w:pStyle w:val="FootnoteText"/>
      </w:pPr>
      <w:r>
        <w:rPr>
          <w:rStyle w:val="FootnoteReference"/>
          <w:sz w:val="20"/>
        </w:rPr>
        <w:footnoteRef/>
      </w:r>
      <w:r>
        <w:t xml:space="preserve"> Veuillez noter qu’un demandeur chef de file (coordonnateur) dont les piliers ont été évalués positivement par la Commission européenne et qui se voit accorder une subvention ne signe pas le contrat type de subvention publié avec les présentes lignes directrices, mais une convention de contribution fondée sur le modèle de convention de contribution. Dans les présentes lignes directrices et dans les autres documents concernant le présent appel à propositions, toutes les références au contrat type de subvention s’entendent dans ce cas comme des références aux dispositions pertinentes du modèle de convention de contribution.</w:t>
      </w:r>
    </w:p>
  </w:footnote>
  <w:footnote w:id="8">
    <w:p w14:paraId="17CF3955" w14:textId="77777777" w:rsidR="00C554EF" w:rsidRDefault="00C554EF" w:rsidP="00475BDA">
      <w:pPr>
        <w:pStyle w:val="FootnoteText"/>
      </w:pPr>
      <w:r w:rsidRPr="00C9266C">
        <w:rPr>
          <w:rStyle w:val="FootnoteReference"/>
          <w:sz w:val="20"/>
        </w:rPr>
        <w:footnoteRef/>
      </w:r>
      <w:r w:rsidRPr="00C9266C">
        <w:t xml:space="preserve"> Règlement (UE) 2021/947 du Parlement Européen et du Conseil du 9 juin 2021 </w:t>
      </w:r>
      <w:r w:rsidRPr="00C9266C">
        <w:rPr>
          <w:shd w:val="clear" w:color="auto" w:fill="FFFFFF"/>
        </w:rPr>
        <w:t>établissant l’instrument de voisinage, de coopération au développement et de coopération internationale — Europe dans le monde, modifiant et abrogeant la décision n</w:t>
      </w:r>
      <w:r w:rsidRPr="005669B5">
        <w:rPr>
          <w:rStyle w:val="oj-super"/>
          <w:bCs/>
          <w:shd w:val="clear" w:color="auto" w:fill="FFFFFF"/>
          <w:vertAlign w:val="superscript"/>
        </w:rPr>
        <w:t>o</w:t>
      </w:r>
      <w:r w:rsidRPr="00C9266C">
        <w:rPr>
          <w:shd w:val="clear" w:color="auto" w:fill="FFFFFF"/>
        </w:rPr>
        <w:t xml:space="preserve"> 466/2014/UE du Parlement européen et du Conseil et abrogeant le règlement </w:t>
      </w:r>
      <w:r w:rsidRPr="00C9266C">
        <w:rPr>
          <w:color w:val="000000"/>
          <w:shd w:val="clear" w:color="auto" w:fill="FFFFFF"/>
        </w:rPr>
        <w:t>(UE) 2017/1601 du Parlement européen et du Conseil et le règlement (CE, Euratom) n</w:t>
      </w:r>
      <w:r w:rsidRPr="005669B5">
        <w:rPr>
          <w:rStyle w:val="oj-super"/>
          <w:bCs/>
          <w:color w:val="000000"/>
          <w:shd w:val="clear" w:color="auto" w:fill="FFFFFF"/>
          <w:vertAlign w:val="superscript"/>
        </w:rPr>
        <w:t>o</w:t>
      </w:r>
      <w:r w:rsidRPr="00C9266C">
        <w:rPr>
          <w:color w:val="000000"/>
          <w:shd w:val="clear" w:color="auto" w:fill="FFFFFF"/>
        </w:rPr>
        <w:t> 480/2009 du Conseil</w:t>
      </w:r>
      <w:r w:rsidRPr="00C9266C">
        <w:rPr>
          <w:color w:val="FF0000"/>
        </w:rPr>
        <w:t xml:space="preserve"> </w:t>
      </w:r>
      <w:r w:rsidRPr="00E77485">
        <w:t>(</w:t>
      </w:r>
      <w:r w:rsidRPr="00C9266C">
        <w:t>https://eur-lex.europa.eu/legal-content/FR/TXT/HTML/?uri=CELEX:32021R0947&amp;from=EN#d1e40-1-1).</w:t>
      </w:r>
    </w:p>
  </w:footnote>
  <w:footnote w:id="9">
    <w:p w14:paraId="03D7244F" w14:textId="77777777" w:rsidR="00C554EF" w:rsidRDefault="00C554EF" w:rsidP="00475BDA">
      <w:pPr>
        <w:pStyle w:val="FootnoteText"/>
      </w:pPr>
      <w:r>
        <w:rPr>
          <w:rStyle w:val="FootnoteReference"/>
          <w:sz w:val="16"/>
          <w:szCs w:val="16"/>
        </w:rPr>
        <w:footnoteRef/>
      </w:r>
      <w:r>
        <w:t xml:space="preserve"> Ces tiers n’étant ni des entités affiliées ni des associés ni des contractants.</w:t>
      </w:r>
    </w:p>
  </w:footnote>
  <w:footnote w:id="10">
    <w:p w14:paraId="6F98A78A" w14:textId="77777777" w:rsidR="00C554EF" w:rsidRDefault="00C554EF" w:rsidP="00475BDA">
      <w:pPr>
        <w:pStyle w:val="FootnoteText"/>
      </w:pPr>
      <w:r>
        <w:rPr>
          <w:rStyle w:val="FootnoteReference"/>
          <w:sz w:val="16"/>
          <w:szCs w:val="16"/>
        </w:rPr>
        <w:footnoteRef/>
      </w:r>
      <w:r>
        <w:t xml:space="preserve"> Selon la définition établie par le CAD de l’OCDE, la notion de « résultats» inclut: l’«impact» (objectif général), les «effets» (objectifs spécifiques) et les «produits».</w:t>
      </w:r>
    </w:p>
  </w:footnote>
  <w:footnote w:id="11">
    <w:p w14:paraId="4E6045DA" w14:textId="77777777" w:rsidR="00C554EF" w:rsidRDefault="00C554EF" w:rsidP="00475BDA">
      <w:pPr>
        <w:pStyle w:val="FootnoteText"/>
      </w:pPr>
      <w:r w:rsidRPr="00BB4C10">
        <w:rPr>
          <w:vertAlign w:val="superscript"/>
        </w:rPr>
        <w:footnoteRef/>
      </w:r>
      <w:r>
        <w:t xml:space="preserve"> Ce qui correspond à l’Annexe F – PADOR off-line form (PRAG annexe e13).</w:t>
      </w:r>
    </w:p>
  </w:footnote>
  <w:footnote w:id="12">
    <w:p w14:paraId="5E64AB9D" w14:textId="77777777" w:rsidR="00C554EF" w:rsidRDefault="00C554EF" w:rsidP="00475BDA">
      <w:pPr>
        <w:pStyle w:val="FootnoteText"/>
      </w:pPr>
      <w:r>
        <w:rPr>
          <w:rStyle w:val="FootnoteReference"/>
          <w:sz w:val="16"/>
          <w:szCs w:val="16"/>
        </w:rPr>
        <w:footnoteRef/>
      </w:r>
      <w:r>
        <w:t xml:space="preserve"> Les personnes physiques qui demandent une subvention (si les lignes directrices à l’intention des demandeurs le permettent) ne doivent pas fournir de formulaire d’enregistrement de l’organisation hors ligne. Dans leur cas, les informations figurant dans le formulaire de demande de subvention sont suffisantes.</w:t>
      </w:r>
    </w:p>
  </w:footnote>
  <w:footnote w:id="13">
    <w:p w14:paraId="571883B2" w14:textId="77777777" w:rsidR="00C554EF" w:rsidRDefault="00C554EF" w:rsidP="00475BDA">
      <w:pPr>
        <w:pStyle w:val="FootnoteText"/>
      </w:pPr>
      <w:r>
        <w:rPr>
          <w:rStyle w:val="FootnoteReference"/>
        </w:rPr>
        <w:footnoteRef/>
      </w:r>
      <w:r>
        <w:t xml:space="preserve"> Aucune pièce justificative ne sera requise pour des demandes de subvention ne dépassant pas 60 000 EUR. </w:t>
      </w:r>
    </w:p>
  </w:footnote>
  <w:footnote w:id="14">
    <w:p w14:paraId="62811F73" w14:textId="77777777" w:rsidR="00C554EF" w:rsidRDefault="00C554EF" w:rsidP="00475BDA">
      <w:pPr>
        <w:pStyle w:val="FootnoteText"/>
      </w:pPr>
      <w:r>
        <w:rPr>
          <w:vertAlign w:val="superscript"/>
        </w:rPr>
        <w:footnoteRef/>
      </w:r>
      <w:r>
        <w:t xml:space="preserve"> Cette obligation ne s’applique pas aux personnes physiques ayant reçu une bourse ou ayant le plus grand besoin d’une aide directe, ni aux entités publiques ni aux organisations internationales. Elle ne s’applique pas non plus lorsque les états financiers sont, en pratique, les mêmes documents que le rapport d’audit externe déjà fourni conformément à la section 2.2.5, point 1.  </w:t>
      </w:r>
    </w:p>
  </w:footnote>
  <w:footnote w:id="15">
    <w:p w14:paraId="0EA06C2D" w14:textId="77777777" w:rsidR="00C554EF" w:rsidRPr="007110C4" w:rsidRDefault="00C554EF" w:rsidP="000030E5">
      <w:pPr>
        <w:pStyle w:val="CommentText"/>
      </w:pPr>
      <w:r>
        <w:rPr>
          <w:rStyle w:val="FootnoteReference"/>
        </w:rPr>
        <w:footnoteRef/>
      </w:r>
      <w:r>
        <w:t xml:space="preserve"> Les demandeurs, les codemandeurs et les entités affiliées qui sont i) des personnes physiques, ii) des entités évaluées sur la base des piliers et iii) des gouvernements et d’autres organismes publics ne doivent pas soumettre le questionnaire d’auto-évaluation.</w:t>
      </w:r>
    </w:p>
    <w:p w14:paraId="3B62B551" w14:textId="77777777" w:rsidR="00C554EF" w:rsidRDefault="00C554EF" w:rsidP="000030E5">
      <w:pPr>
        <w:pStyle w:val="CommentText"/>
      </w:pPr>
    </w:p>
  </w:footnote>
  <w:footnote w:id="16">
    <w:p w14:paraId="54D2BC64" w14:textId="77777777" w:rsidR="00C554EF" w:rsidRDefault="00C554EF" w:rsidP="00475BDA">
      <w:pPr>
        <w:pStyle w:val="FootnoteText"/>
      </w:pPr>
      <w:r>
        <w:rPr>
          <w:vertAlign w:val="superscript"/>
        </w:rPr>
        <w:footnoteRef/>
      </w:r>
      <w:r>
        <w:t xml:space="preserve"> Ces documents devraient également être publiés par l’administration contractante.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E640" w14:textId="77777777" w:rsidR="00C554EF" w:rsidRDefault="00C55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DFC9" w14:textId="77777777" w:rsidR="00C554EF" w:rsidRDefault="00C55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8A421" w14:textId="77777777" w:rsidR="00C554EF" w:rsidRDefault="00C5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809000F"/>
    <w:lvl w:ilvl="0">
      <w:start w:val="1"/>
      <w:numFmt w:val="decimal"/>
      <w:pStyle w:val="ListNumber2Level4"/>
      <w:lvlText w:val="%1."/>
      <w:lvlJc w:val="left"/>
      <w:pPr>
        <w:ind w:left="360" w:hanging="360"/>
      </w:pPr>
      <w:rPr>
        <w:rFonts w:cs="Times New Roman" w:hint="default"/>
      </w:rPr>
    </w:lvl>
  </w:abstractNum>
  <w:abstractNum w:abstractNumId="1" w15:restartNumberingAfterBreak="0">
    <w:nsid w:val="FFFFFF80"/>
    <w:multiLevelType w:val="multilevel"/>
    <w:tmpl w:val="7416FE38"/>
    <w:lvl w:ilvl="0">
      <w:start w:val="1"/>
      <w:numFmt w:val="bullet"/>
      <w:lvlText w:val=""/>
      <w:lvlJc w:val="left"/>
      <w:pPr>
        <w:tabs>
          <w:tab w:val="num" w:pos="1492"/>
        </w:tabs>
        <w:ind w:left="1492" w:hanging="360"/>
      </w:pPr>
      <w:rPr>
        <w:rFonts w:ascii="Symbol" w:hAnsi="Symbol" w:hint="default"/>
      </w:rPr>
    </w:lvl>
    <w:lvl w:ilvl="1">
      <w:numFmt w:val="decimal"/>
      <w:pStyle w:val="Heading5"/>
      <w:lvlText w:val=""/>
      <w:lvlJc w:val="left"/>
      <w:rPr>
        <w:rFonts w:cs="Times New Roman"/>
      </w:rPr>
    </w:lvl>
    <w:lvl w:ilvl="2">
      <w:numFmt w:val="decimal"/>
      <w:pStyle w:val="Heading6"/>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Heading7"/>
      <w:lvlText w:val=""/>
      <w:lvlJc w:val="left"/>
      <w:rPr>
        <w:rFonts w:cs="Times New Roman"/>
      </w:rPr>
    </w:lvl>
    <w:lvl w:ilvl="7">
      <w:numFmt w:val="decimal"/>
      <w:pStyle w:val="Heading8"/>
      <w:lvlText w:val=""/>
      <w:lvlJc w:val="left"/>
      <w:rPr>
        <w:rFonts w:cs="Times New Roman"/>
      </w:rPr>
    </w:lvl>
    <w:lvl w:ilvl="8">
      <w:numFmt w:val="decimal"/>
      <w:pStyle w:val="Heading9"/>
      <w:lvlText w:val=""/>
      <w:lvlJc w:val="left"/>
      <w:rPr>
        <w:rFonts w:cs="Times New Roman"/>
      </w:rPr>
    </w:lvl>
  </w:abstractNum>
  <w:abstractNum w:abstractNumId="2" w15:restartNumberingAfterBreak="0">
    <w:nsid w:val="FFFFFF89"/>
    <w:multiLevelType w:val="singleLevel"/>
    <w:tmpl w:val="DB5023AE"/>
    <w:lvl w:ilvl="0">
      <w:start w:val="1"/>
      <w:numFmt w:val="bullet"/>
      <w:pStyle w:val="Heading3"/>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ED08DD50"/>
    <w:lvl w:ilvl="0">
      <w:start w:val="1"/>
      <w:numFmt w:val="decimal"/>
      <w:pStyle w:val="Guidelines1"/>
      <w:lvlText w:val="%1."/>
      <w:lvlJc w:val="left"/>
      <w:pPr>
        <w:ind w:left="567" w:hanging="567"/>
      </w:pPr>
      <w:rPr>
        <w:rFonts w:ascii="Times New Roman Bold" w:hAnsi="Times New Roman Bold"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5692BD0"/>
    <w:multiLevelType w:val="hybridMultilevel"/>
    <w:tmpl w:val="95D45F56"/>
    <w:lvl w:ilvl="0" w:tplc="040C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71739D2"/>
    <w:multiLevelType w:val="multilevel"/>
    <w:tmpl w:val="B79EBA66"/>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93D2A25"/>
    <w:multiLevelType w:val="hybridMultilevel"/>
    <w:tmpl w:val="1FFA1BAC"/>
    <w:lvl w:ilvl="0" w:tplc="08090013">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977F9"/>
    <w:multiLevelType w:val="hybridMultilevel"/>
    <w:tmpl w:val="534E6A0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09021B4"/>
    <w:multiLevelType w:val="hybridMultilevel"/>
    <w:tmpl w:val="2A74EC24"/>
    <w:lvl w:ilvl="0" w:tplc="0809000F">
      <w:start w:val="1"/>
      <w:numFmt w:val="decimal"/>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82578B2"/>
    <w:multiLevelType w:val="hybridMultilevel"/>
    <w:tmpl w:val="2ABCE566"/>
    <w:lvl w:ilvl="0" w:tplc="963AAC0C">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A50F1"/>
    <w:multiLevelType w:val="hybridMultilevel"/>
    <w:tmpl w:val="683412E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A1798"/>
    <w:multiLevelType w:val="hybridMultilevel"/>
    <w:tmpl w:val="19EA99E4"/>
    <w:lvl w:ilvl="0" w:tplc="CCAEE03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2C8E59AF"/>
    <w:multiLevelType w:val="hybridMultilevel"/>
    <w:tmpl w:val="2F1BC3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D072D"/>
    <w:multiLevelType w:val="hybridMultilevel"/>
    <w:tmpl w:val="93A46CC6"/>
    <w:lvl w:ilvl="0" w:tplc="B72CA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40EDB"/>
    <w:multiLevelType w:val="hybridMultilevel"/>
    <w:tmpl w:val="45985B24"/>
    <w:lvl w:ilvl="0" w:tplc="1D8C0454">
      <w:start w:val="3"/>
      <w:numFmt w:val="decimal"/>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2F40910"/>
    <w:multiLevelType w:val="hybridMultilevel"/>
    <w:tmpl w:val="DDF0C3C0"/>
    <w:lvl w:ilvl="0" w:tplc="54A2365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8C47C02"/>
    <w:multiLevelType w:val="hybridMultilevel"/>
    <w:tmpl w:val="6BF4DC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C1B24350">
      <w:start w:val="1"/>
      <w:numFmt w:val="decimal"/>
      <w:lvlText w:val="%7."/>
      <w:lvlJc w:val="left"/>
      <w:pPr>
        <w:ind w:left="644" w:hanging="360"/>
      </w:pPr>
      <w:rPr>
        <w:rFonts w:cs="Times New Roman"/>
        <w:sz w:val="22"/>
        <w:szCs w:val="22"/>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9E073D3"/>
    <w:multiLevelType w:val="multilevel"/>
    <w:tmpl w:val="8EE8F49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A730030"/>
    <w:multiLevelType w:val="hybridMultilevel"/>
    <w:tmpl w:val="2A74EC24"/>
    <w:lvl w:ilvl="0" w:tplc="0809000F">
      <w:start w:val="1"/>
      <w:numFmt w:val="decimal"/>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09B3BCD"/>
    <w:multiLevelType w:val="hybridMultilevel"/>
    <w:tmpl w:val="57C216AC"/>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0AE0B8C"/>
    <w:multiLevelType w:val="hybridMultilevel"/>
    <w:tmpl w:val="31DA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4662666B"/>
    <w:multiLevelType w:val="hybridMultilevel"/>
    <w:tmpl w:val="BB88C9F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44FBD"/>
    <w:multiLevelType w:val="hybridMultilevel"/>
    <w:tmpl w:val="4A12FD18"/>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31" w15:restartNumberingAfterBreak="0">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A76BA"/>
    <w:multiLevelType w:val="hybridMultilevel"/>
    <w:tmpl w:val="247642E2"/>
    <w:lvl w:ilvl="0" w:tplc="BFA0F0AE">
      <w:start w:val="5"/>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34E73E6"/>
    <w:multiLevelType w:val="hybridMultilevel"/>
    <w:tmpl w:val="0C5ECD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4F12C41"/>
    <w:multiLevelType w:val="hybridMultilevel"/>
    <w:tmpl w:val="D6EA5518"/>
    <w:lvl w:ilvl="0" w:tplc="D68EA546">
      <w:start w:val="1"/>
      <w:numFmt w:val="decimal"/>
      <w:lvlText w:val="%1."/>
      <w:lvlJc w:val="left"/>
      <w:pPr>
        <w:ind w:left="1636" w:hanging="360"/>
      </w:pPr>
      <w:rPr>
        <w:rFonts w:ascii="Times New Roman" w:eastAsia="Times New Roman" w:hAnsi="Times New Roman" w:cs="Times New Roman"/>
      </w:rPr>
    </w:lvl>
    <w:lvl w:ilvl="1" w:tplc="08090019">
      <w:start w:val="1"/>
      <w:numFmt w:val="lowerLetter"/>
      <w:lvlText w:val="%2."/>
      <w:lvlJc w:val="left"/>
      <w:pPr>
        <w:ind w:left="2356" w:hanging="360"/>
      </w:pPr>
      <w:rPr>
        <w:rFonts w:cs="Times New Roman"/>
      </w:rPr>
    </w:lvl>
    <w:lvl w:ilvl="2" w:tplc="0809001B">
      <w:start w:val="1"/>
      <w:numFmt w:val="lowerRoman"/>
      <w:lvlText w:val="%3."/>
      <w:lvlJc w:val="right"/>
      <w:pPr>
        <w:ind w:left="3076" w:hanging="180"/>
      </w:pPr>
      <w:rPr>
        <w:rFonts w:cs="Times New Roman"/>
      </w:rPr>
    </w:lvl>
    <w:lvl w:ilvl="3" w:tplc="0809000F" w:tentative="1">
      <w:start w:val="1"/>
      <w:numFmt w:val="decimal"/>
      <w:lvlText w:val="%4."/>
      <w:lvlJc w:val="left"/>
      <w:pPr>
        <w:ind w:left="3796" w:hanging="360"/>
      </w:pPr>
      <w:rPr>
        <w:rFonts w:cs="Times New Roman"/>
      </w:rPr>
    </w:lvl>
    <w:lvl w:ilvl="4" w:tplc="08090019" w:tentative="1">
      <w:start w:val="1"/>
      <w:numFmt w:val="lowerLetter"/>
      <w:lvlText w:val="%5."/>
      <w:lvlJc w:val="left"/>
      <w:pPr>
        <w:ind w:left="4516" w:hanging="360"/>
      </w:pPr>
      <w:rPr>
        <w:rFonts w:cs="Times New Roman"/>
      </w:rPr>
    </w:lvl>
    <w:lvl w:ilvl="5" w:tplc="0809001B" w:tentative="1">
      <w:start w:val="1"/>
      <w:numFmt w:val="lowerRoman"/>
      <w:lvlText w:val="%6."/>
      <w:lvlJc w:val="right"/>
      <w:pPr>
        <w:ind w:left="5236" w:hanging="180"/>
      </w:pPr>
      <w:rPr>
        <w:rFonts w:cs="Times New Roman"/>
      </w:rPr>
    </w:lvl>
    <w:lvl w:ilvl="6" w:tplc="0809000F" w:tentative="1">
      <w:start w:val="1"/>
      <w:numFmt w:val="decimal"/>
      <w:lvlText w:val="%7."/>
      <w:lvlJc w:val="left"/>
      <w:pPr>
        <w:ind w:left="5956" w:hanging="360"/>
      </w:pPr>
      <w:rPr>
        <w:rFonts w:cs="Times New Roman"/>
      </w:rPr>
    </w:lvl>
    <w:lvl w:ilvl="7" w:tplc="08090019" w:tentative="1">
      <w:start w:val="1"/>
      <w:numFmt w:val="lowerLetter"/>
      <w:lvlText w:val="%8."/>
      <w:lvlJc w:val="left"/>
      <w:pPr>
        <w:ind w:left="6676" w:hanging="360"/>
      </w:pPr>
      <w:rPr>
        <w:rFonts w:cs="Times New Roman"/>
      </w:rPr>
    </w:lvl>
    <w:lvl w:ilvl="8" w:tplc="0809001B" w:tentative="1">
      <w:start w:val="1"/>
      <w:numFmt w:val="lowerRoman"/>
      <w:lvlText w:val="%9."/>
      <w:lvlJc w:val="right"/>
      <w:pPr>
        <w:ind w:left="7396" w:hanging="180"/>
      </w:pPr>
      <w:rPr>
        <w:rFonts w:cs="Times New Roman"/>
      </w:rPr>
    </w:lvl>
  </w:abstractNum>
  <w:abstractNum w:abstractNumId="37"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C5352"/>
    <w:multiLevelType w:val="hybridMultilevel"/>
    <w:tmpl w:val="75E2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A584B09"/>
    <w:multiLevelType w:val="hybridMultilevel"/>
    <w:tmpl w:val="2E20F7C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2"/>
  </w:num>
  <w:num w:numId="11">
    <w:abstractNumId w:val="0"/>
  </w:num>
  <w:num w:numId="12">
    <w:abstractNumId w:val="1"/>
  </w:num>
  <w:num w:numId="13">
    <w:abstractNumId w:val="2"/>
  </w:num>
  <w:num w:numId="14">
    <w:abstractNumId w:val="0"/>
  </w:num>
  <w:num w:numId="15">
    <w:abstractNumId w:val="1"/>
  </w:num>
  <w:num w:numId="16">
    <w:abstractNumId w:val="5"/>
  </w:num>
  <w:num w:numId="17">
    <w:abstractNumId w:val="3"/>
  </w:num>
  <w:num w:numId="18">
    <w:abstractNumId w:val="13"/>
  </w:num>
  <w:num w:numId="19">
    <w:abstractNumId w:val="29"/>
  </w:num>
  <w:num w:numId="20">
    <w:abstractNumId w:val="43"/>
  </w:num>
  <w:num w:numId="21">
    <w:abstractNumId w:val="27"/>
  </w:num>
  <w:num w:numId="22">
    <w:abstractNumId w:val="12"/>
  </w:num>
  <w:num w:numId="23">
    <w:abstractNumId w:val="33"/>
  </w:num>
  <w:num w:numId="24">
    <w:abstractNumId w:val="37"/>
  </w:num>
  <w:num w:numId="25">
    <w:abstractNumId w:val="14"/>
  </w:num>
  <w:num w:numId="26">
    <w:abstractNumId w:val="28"/>
  </w:num>
  <w:num w:numId="27">
    <w:abstractNumId w:val="38"/>
  </w:num>
  <w:num w:numId="28">
    <w:abstractNumId w:val="31"/>
  </w:num>
  <w:num w:numId="29">
    <w:abstractNumId w:val="15"/>
  </w:num>
  <w:num w:numId="30">
    <w:abstractNumId w:val="42"/>
  </w:num>
  <w:num w:numId="31">
    <w:abstractNumId w:val="18"/>
  </w:num>
  <w:num w:numId="32">
    <w:abstractNumId w:val="7"/>
  </w:num>
  <w:num w:numId="33">
    <w:abstractNumId w:val="22"/>
  </w:num>
  <w:num w:numId="34">
    <w:abstractNumId w:val="25"/>
  </w:num>
  <w:num w:numId="35">
    <w:abstractNumId w:val="21"/>
  </w:num>
  <w:num w:numId="36">
    <w:abstractNumId w:val="34"/>
  </w:num>
  <w:num w:numId="37">
    <w:abstractNumId w:val="30"/>
  </w:num>
  <w:num w:numId="38">
    <w:abstractNumId w:val="40"/>
  </w:num>
  <w:num w:numId="39">
    <w:abstractNumId w:val="6"/>
  </w:num>
  <w:num w:numId="40">
    <w:abstractNumId w:val="39"/>
  </w:num>
  <w:num w:numId="41">
    <w:abstractNumId w:val="41"/>
  </w:num>
  <w:num w:numId="42">
    <w:abstractNumId w:val="16"/>
  </w:num>
  <w:num w:numId="43">
    <w:abstractNumId w:val="20"/>
  </w:num>
  <w:num w:numId="44">
    <w:abstractNumId w:val="36"/>
  </w:num>
  <w:num w:numId="45">
    <w:abstractNumId w:val="8"/>
  </w:num>
  <w:num w:numId="46">
    <w:abstractNumId w:val="11"/>
  </w:num>
  <w:num w:numId="47">
    <w:abstractNumId w:val="4"/>
  </w:num>
  <w:num w:numId="48">
    <w:abstractNumId w:val="9"/>
  </w:num>
  <w:num w:numId="49">
    <w:abstractNumId w:val="10"/>
  </w:num>
  <w:num w:numId="50">
    <w:abstractNumId w:val="35"/>
  </w:num>
  <w:num w:numId="51">
    <w:abstractNumId w:val="23"/>
  </w:num>
  <w:num w:numId="52">
    <w:abstractNumId w:val="17"/>
  </w:num>
  <w:num w:numId="53">
    <w:abstractNumId w:val="24"/>
  </w:num>
  <w:num w:numId="54">
    <w:abstractNumId w:val="19"/>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0B02"/>
    <w:rsid w:val="000015FC"/>
    <w:rsid w:val="00001767"/>
    <w:rsid w:val="00001F83"/>
    <w:rsid w:val="000030E5"/>
    <w:rsid w:val="00003166"/>
    <w:rsid w:val="00003724"/>
    <w:rsid w:val="000041CB"/>
    <w:rsid w:val="000041CE"/>
    <w:rsid w:val="000043F8"/>
    <w:rsid w:val="0000587D"/>
    <w:rsid w:val="00006318"/>
    <w:rsid w:val="00006813"/>
    <w:rsid w:val="0001129D"/>
    <w:rsid w:val="00011765"/>
    <w:rsid w:val="0001251B"/>
    <w:rsid w:val="000127B4"/>
    <w:rsid w:val="00012BBB"/>
    <w:rsid w:val="00012D9A"/>
    <w:rsid w:val="0001411D"/>
    <w:rsid w:val="0001462B"/>
    <w:rsid w:val="0001485A"/>
    <w:rsid w:val="00014BB7"/>
    <w:rsid w:val="00014E97"/>
    <w:rsid w:val="000159A3"/>
    <w:rsid w:val="00017505"/>
    <w:rsid w:val="000176DE"/>
    <w:rsid w:val="00017DDF"/>
    <w:rsid w:val="00017EFF"/>
    <w:rsid w:val="0002037C"/>
    <w:rsid w:val="00020C81"/>
    <w:rsid w:val="000220E5"/>
    <w:rsid w:val="00022D3C"/>
    <w:rsid w:val="00023576"/>
    <w:rsid w:val="0002374A"/>
    <w:rsid w:val="0002503B"/>
    <w:rsid w:val="00025394"/>
    <w:rsid w:val="00026D5B"/>
    <w:rsid w:val="000275A9"/>
    <w:rsid w:val="00027881"/>
    <w:rsid w:val="00027C2F"/>
    <w:rsid w:val="0003006C"/>
    <w:rsid w:val="00030A89"/>
    <w:rsid w:val="00030E42"/>
    <w:rsid w:val="000312D2"/>
    <w:rsid w:val="00031497"/>
    <w:rsid w:val="00031E41"/>
    <w:rsid w:val="000323AD"/>
    <w:rsid w:val="00033A1F"/>
    <w:rsid w:val="00034524"/>
    <w:rsid w:val="00034906"/>
    <w:rsid w:val="00034BC8"/>
    <w:rsid w:val="00035329"/>
    <w:rsid w:val="00036F0B"/>
    <w:rsid w:val="000374B6"/>
    <w:rsid w:val="0003772E"/>
    <w:rsid w:val="000405C5"/>
    <w:rsid w:val="00040730"/>
    <w:rsid w:val="00040A22"/>
    <w:rsid w:val="00042967"/>
    <w:rsid w:val="00043063"/>
    <w:rsid w:val="000445D3"/>
    <w:rsid w:val="00045368"/>
    <w:rsid w:val="00045E79"/>
    <w:rsid w:val="00045F72"/>
    <w:rsid w:val="00046C46"/>
    <w:rsid w:val="00046C80"/>
    <w:rsid w:val="00047C7D"/>
    <w:rsid w:val="00050B50"/>
    <w:rsid w:val="00050E48"/>
    <w:rsid w:val="0005133A"/>
    <w:rsid w:val="0005169C"/>
    <w:rsid w:val="00051AC1"/>
    <w:rsid w:val="0005306F"/>
    <w:rsid w:val="00054B49"/>
    <w:rsid w:val="00054F87"/>
    <w:rsid w:val="00055FED"/>
    <w:rsid w:val="00056377"/>
    <w:rsid w:val="000572EE"/>
    <w:rsid w:val="000603C3"/>
    <w:rsid w:val="0006044D"/>
    <w:rsid w:val="000616CA"/>
    <w:rsid w:val="00061871"/>
    <w:rsid w:val="000618B3"/>
    <w:rsid w:val="00062A91"/>
    <w:rsid w:val="000636F3"/>
    <w:rsid w:val="000638B5"/>
    <w:rsid w:val="00063A68"/>
    <w:rsid w:val="00063B9A"/>
    <w:rsid w:val="0006470D"/>
    <w:rsid w:val="00064836"/>
    <w:rsid w:val="0006488E"/>
    <w:rsid w:val="000648BB"/>
    <w:rsid w:val="0006505A"/>
    <w:rsid w:val="00065311"/>
    <w:rsid w:val="00065C6A"/>
    <w:rsid w:val="00065F32"/>
    <w:rsid w:val="00066C91"/>
    <w:rsid w:val="00067591"/>
    <w:rsid w:val="00067A85"/>
    <w:rsid w:val="000712A0"/>
    <w:rsid w:val="0007171B"/>
    <w:rsid w:val="000728FC"/>
    <w:rsid w:val="000734D6"/>
    <w:rsid w:val="000735EC"/>
    <w:rsid w:val="0007408E"/>
    <w:rsid w:val="000745FC"/>
    <w:rsid w:val="0007498A"/>
    <w:rsid w:val="000752CD"/>
    <w:rsid w:val="0007546C"/>
    <w:rsid w:val="00075669"/>
    <w:rsid w:val="00076061"/>
    <w:rsid w:val="000762FC"/>
    <w:rsid w:val="00077BB8"/>
    <w:rsid w:val="00080947"/>
    <w:rsid w:val="00081B91"/>
    <w:rsid w:val="00082D09"/>
    <w:rsid w:val="00082F25"/>
    <w:rsid w:val="000842B5"/>
    <w:rsid w:val="00084CB5"/>
    <w:rsid w:val="000852E9"/>
    <w:rsid w:val="0008570E"/>
    <w:rsid w:val="0008672E"/>
    <w:rsid w:val="00087373"/>
    <w:rsid w:val="00090A34"/>
    <w:rsid w:val="00090BCF"/>
    <w:rsid w:val="000919FB"/>
    <w:rsid w:val="00091FCE"/>
    <w:rsid w:val="00092688"/>
    <w:rsid w:val="00093C1F"/>
    <w:rsid w:val="00093DA8"/>
    <w:rsid w:val="0009588C"/>
    <w:rsid w:val="00095C5E"/>
    <w:rsid w:val="00095EC4"/>
    <w:rsid w:val="0009657A"/>
    <w:rsid w:val="00096BBF"/>
    <w:rsid w:val="000971D0"/>
    <w:rsid w:val="00097401"/>
    <w:rsid w:val="00097686"/>
    <w:rsid w:val="00097B47"/>
    <w:rsid w:val="00097D81"/>
    <w:rsid w:val="000A04BD"/>
    <w:rsid w:val="000A0984"/>
    <w:rsid w:val="000A2C18"/>
    <w:rsid w:val="000A4055"/>
    <w:rsid w:val="000A486E"/>
    <w:rsid w:val="000A4E43"/>
    <w:rsid w:val="000A51F3"/>
    <w:rsid w:val="000A60D9"/>
    <w:rsid w:val="000B071C"/>
    <w:rsid w:val="000B0FF1"/>
    <w:rsid w:val="000B1032"/>
    <w:rsid w:val="000B1B0A"/>
    <w:rsid w:val="000B21CB"/>
    <w:rsid w:val="000B2496"/>
    <w:rsid w:val="000B24FE"/>
    <w:rsid w:val="000B2A3D"/>
    <w:rsid w:val="000B327F"/>
    <w:rsid w:val="000B491E"/>
    <w:rsid w:val="000B7AC2"/>
    <w:rsid w:val="000B7FE7"/>
    <w:rsid w:val="000C00BF"/>
    <w:rsid w:val="000C024F"/>
    <w:rsid w:val="000C06A5"/>
    <w:rsid w:val="000C06B6"/>
    <w:rsid w:val="000C0AD6"/>
    <w:rsid w:val="000C1624"/>
    <w:rsid w:val="000C183F"/>
    <w:rsid w:val="000C3776"/>
    <w:rsid w:val="000C3E25"/>
    <w:rsid w:val="000C4252"/>
    <w:rsid w:val="000C6140"/>
    <w:rsid w:val="000C6593"/>
    <w:rsid w:val="000C72A6"/>
    <w:rsid w:val="000C79EB"/>
    <w:rsid w:val="000D016F"/>
    <w:rsid w:val="000D0DD8"/>
    <w:rsid w:val="000D240A"/>
    <w:rsid w:val="000D40CC"/>
    <w:rsid w:val="000D41A5"/>
    <w:rsid w:val="000D46D7"/>
    <w:rsid w:val="000D5F55"/>
    <w:rsid w:val="000D5F99"/>
    <w:rsid w:val="000D61C6"/>
    <w:rsid w:val="000D773C"/>
    <w:rsid w:val="000D7ACD"/>
    <w:rsid w:val="000E123D"/>
    <w:rsid w:val="000E1508"/>
    <w:rsid w:val="000E19B9"/>
    <w:rsid w:val="000E1C1C"/>
    <w:rsid w:val="000E2AF6"/>
    <w:rsid w:val="000E2E9C"/>
    <w:rsid w:val="000E31CA"/>
    <w:rsid w:val="000E3294"/>
    <w:rsid w:val="000E32B1"/>
    <w:rsid w:val="000E38CD"/>
    <w:rsid w:val="000E4726"/>
    <w:rsid w:val="000E5BD3"/>
    <w:rsid w:val="000E76E9"/>
    <w:rsid w:val="000F1310"/>
    <w:rsid w:val="000F197D"/>
    <w:rsid w:val="000F2165"/>
    <w:rsid w:val="000F22BC"/>
    <w:rsid w:val="000F47D9"/>
    <w:rsid w:val="000F4C62"/>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413"/>
    <w:rsid w:val="001027A3"/>
    <w:rsid w:val="00102B37"/>
    <w:rsid w:val="00103811"/>
    <w:rsid w:val="00107B30"/>
    <w:rsid w:val="00107C6D"/>
    <w:rsid w:val="00107FD9"/>
    <w:rsid w:val="00111415"/>
    <w:rsid w:val="0011209C"/>
    <w:rsid w:val="00112225"/>
    <w:rsid w:val="00112E4F"/>
    <w:rsid w:val="0011455E"/>
    <w:rsid w:val="00114A00"/>
    <w:rsid w:val="00114EE7"/>
    <w:rsid w:val="001151FE"/>
    <w:rsid w:val="0011551C"/>
    <w:rsid w:val="001158D6"/>
    <w:rsid w:val="001162F0"/>
    <w:rsid w:val="00116BB5"/>
    <w:rsid w:val="001178DC"/>
    <w:rsid w:val="00120A8D"/>
    <w:rsid w:val="00121219"/>
    <w:rsid w:val="00121CA0"/>
    <w:rsid w:val="00122B03"/>
    <w:rsid w:val="001232A6"/>
    <w:rsid w:val="001236BA"/>
    <w:rsid w:val="00124239"/>
    <w:rsid w:val="001249D9"/>
    <w:rsid w:val="00124DD1"/>
    <w:rsid w:val="001254ED"/>
    <w:rsid w:val="00126371"/>
    <w:rsid w:val="00127131"/>
    <w:rsid w:val="001309F2"/>
    <w:rsid w:val="00132E55"/>
    <w:rsid w:val="0013435B"/>
    <w:rsid w:val="00136AD0"/>
    <w:rsid w:val="0013713C"/>
    <w:rsid w:val="00137168"/>
    <w:rsid w:val="00137D64"/>
    <w:rsid w:val="00140A0D"/>
    <w:rsid w:val="00141E6C"/>
    <w:rsid w:val="001421B6"/>
    <w:rsid w:val="00142B9C"/>
    <w:rsid w:val="00143E05"/>
    <w:rsid w:val="0014692E"/>
    <w:rsid w:val="00146F1C"/>
    <w:rsid w:val="00146F62"/>
    <w:rsid w:val="00147ECE"/>
    <w:rsid w:val="0015028B"/>
    <w:rsid w:val="00150568"/>
    <w:rsid w:val="001507E7"/>
    <w:rsid w:val="00151EDE"/>
    <w:rsid w:val="00152F84"/>
    <w:rsid w:val="00153C75"/>
    <w:rsid w:val="00153E80"/>
    <w:rsid w:val="00154428"/>
    <w:rsid w:val="00154C34"/>
    <w:rsid w:val="001554CF"/>
    <w:rsid w:val="00155BB8"/>
    <w:rsid w:val="00156133"/>
    <w:rsid w:val="001561E0"/>
    <w:rsid w:val="001564BC"/>
    <w:rsid w:val="00156674"/>
    <w:rsid w:val="001566CE"/>
    <w:rsid w:val="00156DE6"/>
    <w:rsid w:val="00157648"/>
    <w:rsid w:val="001606C0"/>
    <w:rsid w:val="00160781"/>
    <w:rsid w:val="00161AC7"/>
    <w:rsid w:val="00161C69"/>
    <w:rsid w:val="001640CB"/>
    <w:rsid w:val="0016459B"/>
    <w:rsid w:val="0016598D"/>
    <w:rsid w:val="00165B0C"/>
    <w:rsid w:val="00165EB2"/>
    <w:rsid w:val="001664B1"/>
    <w:rsid w:val="00167D43"/>
    <w:rsid w:val="00170044"/>
    <w:rsid w:val="00170A04"/>
    <w:rsid w:val="00172079"/>
    <w:rsid w:val="001729EF"/>
    <w:rsid w:val="0017357A"/>
    <w:rsid w:val="00173829"/>
    <w:rsid w:val="00173C10"/>
    <w:rsid w:val="00175DE7"/>
    <w:rsid w:val="00175F1E"/>
    <w:rsid w:val="00175F39"/>
    <w:rsid w:val="00176363"/>
    <w:rsid w:val="00176719"/>
    <w:rsid w:val="00176901"/>
    <w:rsid w:val="00176B31"/>
    <w:rsid w:val="00176B73"/>
    <w:rsid w:val="00176C61"/>
    <w:rsid w:val="00176FB1"/>
    <w:rsid w:val="0017717E"/>
    <w:rsid w:val="0017762C"/>
    <w:rsid w:val="00180523"/>
    <w:rsid w:val="001807CB"/>
    <w:rsid w:val="00180895"/>
    <w:rsid w:val="001817FD"/>
    <w:rsid w:val="0018180E"/>
    <w:rsid w:val="00181A77"/>
    <w:rsid w:val="00181D7A"/>
    <w:rsid w:val="00183435"/>
    <w:rsid w:val="001844EB"/>
    <w:rsid w:val="001848C3"/>
    <w:rsid w:val="001851C2"/>
    <w:rsid w:val="00186213"/>
    <w:rsid w:val="001870D3"/>
    <w:rsid w:val="001871B4"/>
    <w:rsid w:val="00187D60"/>
    <w:rsid w:val="00190A83"/>
    <w:rsid w:val="00192503"/>
    <w:rsid w:val="00193266"/>
    <w:rsid w:val="0019373F"/>
    <w:rsid w:val="00194FB0"/>
    <w:rsid w:val="00195347"/>
    <w:rsid w:val="00195EAB"/>
    <w:rsid w:val="001974E4"/>
    <w:rsid w:val="00197634"/>
    <w:rsid w:val="00197AA9"/>
    <w:rsid w:val="001A00CD"/>
    <w:rsid w:val="001A081C"/>
    <w:rsid w:val="001A0FEC"/>
    <w:rsid w:val="001A143D"/>
    <w:rsid w:val="001A1C01"/>
    <w:rsid w:val="001A1E7A"/>
    <w:rsid w:val="001A27A5"/>
    <w:rsid w:val="001A31B7"/>
    <w:rsid w:val="001A3322"/>
    <w:rsid w:val="001A394F"/>
    <w:rsid w:val="001A3FE1"/>
    <w:rsid w:val="001A4D38"/>
    <w:rsid w:val="001A4F8E"/>
    <w:rsid w:val="001A628E"/>
    <w:rsid w:val="001B03E2"/>
    <w:rsid w:val="001B0750"/>
    <w:rsid w:val="001B2413"/>
    <w:rsid w:val="001B2484"/>
    <w:rsid w:val="001B26AC"/>
    <w:rsid w:val="001B29BA"/>
    <w:rsid w:val="001B4EC0"/>
    <w:rsid w:val="001B53C9"/>
    <w:rsid w:val="001B53ED"/>
    <w:rsid w:val="001B554C"/>
    <w:rsid w:val="001B596A"/>
    <w:rsid w:val="001B69A5"/>
    <w:rsid w:val="001B6E72"/>
    <w:rsid w:val="001B6F5A"/>
    <w:rsid w:val="001B708C"/>
    <w:rsid w:val="001C006F"/>
    <w:rsid w:val="001C0A89"/>
    <w:rsid w:val="001C0EFE"/>
    <w:rsid w:val="001C1D2C"/>
    <w:rsid w:val="001C1EB6"/>
    <w:rsid w:val="001C300E"/>
    <w:rsid w:val="001C474A"/>
    <w:rsid w:val="001C4D3A"/>
    <w:rsid w:val="001C4EEE"/>
    <w:rsid w:val="001C5D7E"/>
    <w:rsid w:val="001C71E4"/>
    <w:rsid w:val="001C71F8"/>
    <w:rsid w:val="001C7DA0"/>
    <w:rsid w:val="001D07C0"/>
    <w:rsid w:val="001D0C7B"/>
    <w:rsid w:val="001D0D72"/>
    <w:rsid w:val="001D2826"/>
    <w:rsid w:val="001D2F42"/>
    <w:rsid w:val="001D3C19"/>
    <w:rsid w:val="001D4949"/>
    <w:rsid w:val="001D5B79"/>
    <w:rsid w:val="001D6917"/>
    <w:rsid w:val="001D6EA7"/>
    <w:rsid w:val="001D7B14"/>
    <w:rsid w:val="001E0435"/>
    <w:rsid w:val="001E10DA"/>
    <w:rsid w:val="001E2490"/>
    <w:rsid w:val="001E274C"/>
    <w:rsid w:val="001E2E0D"/>
    <w:rsid w:val="001E3BA7"/>
    <w:rsid w:val="001E4A72"/>
    <w:rsid w:val="001E4FE1"/>
    <w:rsid w:val="001E61B6"/>
    <w:rsid w:val="001E633D"/>
    <w:rsid w:val="001E6568"/>
    <w:rsid w:val="001E74A3"/>
    <w:rsid w:val="001E7C41"/>
    <w:rsid w:val="001F0C60"/>
    <w:rsid w:val="001F2312"/>
    <w:rsid w:val="001F4014"/>
    <w:rsid w:val="001F4708"/>
    <w:rsid w:val="001F47DB"/>
    <w:rsid w:val="001F4A09"/>
    <w:rsid w:val="001F59CD"/>
    <w:rsid w:val="001F6434"/>
    <w:rsid w:val="001F7DFC"/>
    <w:rsid w:val="002004B0"/>
    <w:rsid w:val="00200ACF"/>
    <w:rsid w:val="002015A7"/>
    <w:rsid w:val="00201E89"/>
    <w:rsid w:val="002023D8"/>
    <w:rsid w:val="00203A13"/>
    <w:rsid w:val="00203ABF"/>
    <w:rsid w:val="00203BFA"/>
    <w:rsid w:val="0020401B"/>
    <w:rsid w:val="002040AB"/>
    <w:rsid w:val="002045C6"/>
    <w:rsid w:val="00204F64"/>
    <w:rsid w:val="00205C2A"/>
    <w:rsid w:val="00205D6F"/>
    <w:rsid w:val="002060C2"/>
    <w:rsid w:val="00206585"/>
    <w:rsid w:val="0020704F"/>
    <w:rsid w:val="00211ADF"/>
    <w:rsid w:val="00211B17"/>
    <w:rsid w:val="00211B8D"/>
    <w:rsid w:val="00212526"/>
    <w:rsid w:val="002128D0"/>
    <w:rsid w:val="0021362B"/>
    <w:rsid w:val="00220999"/>
    <w:rsid w:val="0022115B"/>
    <w:rsid w:val="00221163"/>
    <w:rsid w:val="0022120B"/>
    <w:rsid w:val="0022128C"/>
    <w:rsid w:val="00221350"/>
    <w:rsid w:val="00221A12"/>
    <w:rsid w:val="00222427"/>
    <w:rsid w:val="0022283B"/>
    <w:rsid w:val="00222886"/>
    <w:rsid w:val="00222AE2"/>
    <w:rsid w:val="00222C04"/>
    <w:rsid w:val="00222D6F"/>
    <w:rsid w:val="00222FF0"/>
    <w:rsid w:val="0022324E"/>
    <w:rsid w:val="00223658"/>
    <w:rsid w:val="00223C40"/>
    <w:rsid w:val="00223CF3"/>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5015"/>
    <w:rsid w:val="002355D2"/>
    <w:rsid w:val="00236984"/>
    <w:rsid w:val="00237884"/>
    <w:rsid w:val="00237938"/>
    <w:rsid w:val="002379BB"/>
    <w:rsid w:val="00237B61"/>
    <w:rsid w:val="00237BB9"/>
    <w:rsid w:val="00240E1E"/>
    <w:rsid w:val="0024146B"/>
    <w:rsid w:val="002421FF"/>
    <w:rsid w:val="0024336B"/>
    <w:rsid w:val="00244AFA"/>
    <w:rsid w:val="00244BC4"/>
    <w:rsid w:val="00244D10"/>
    <w:rsid w:val="00245478"/>
    <w:rsid w:val="002455CB"/>
    <w:rsid w:val="0024623A"/>
    <w:rsid w:val="00247941"/>
    <w:rsid w:val="00250AE3"/>
    <w:rsid w:val="00251414"/>
    <w:rsid w:val="0025435C"/>
    <w:rsid w:val="00254371"/>
    <w:rsid w:val="0025585A"/>
    <w:rsid w:val="00256233"/>
    <w:rsid w:val="0025638F"/>
    <w:rsid w:val="0025687E"/>
    <w:rsid w:val="0025737C"/>
    <w:rsid w:val="002573AC"/>
    <w:rsid w:val="00260548"/>
    <w:rsid w:val="00260640"/>
    <w:rsid w:val="0026123F"/>
    <w:rsid w:val="00261596"/>
    <w:rsid w:val="00264C31"/>
    <w:rsid w:val="00265280"/>
    <w:rsid w:val="00265A33"/>
    <w:rsid w:val="0026609F"/>
    <w:rsid w:val="002661BC"/>
    <w:rsid w:val="00266BD4"/>
    <w:rsid w:val="00267AD8"/>
    <w:rsid w:val="00267BD6"/>
    <w:rsid w:val="00267E4F"/>
    <w:rsid w:val="00270A4A"/>
    <w:rsid w:val="0027195E"/>
    <w:rsid w:val="0027264B"/>
    <w:rsid w:val="002729BF"/>
    <w:rsid w:val="00273299"/>
    <w:rsid w:val="00273A57"/>
    <w:rsid w:val="0027516A"/>
    <w:rsid w:val="00276EDD"/>
    <w:rsid w:val="002777BB"/>
    <w:rsid w:val="00277B28"/>
    <w:rsid w:val="002809D4"/>
    <w:rsid w:val="00280C8B"/>
    <w:rsid w:val="00281295"/>
    <w:rsid w:val="00281661"/>
    <w:rsid w:val="00282832"/>
    <w:rsid w:val="0028366E"/>
    <w:rsid w:val="00283D20"/>
    <w:rsid w:val="00284227"/>
    <w:rsid w:val="00285167"/>
    <w:rsid w:val="002852CE"/>
    <w:rsid w:val="00285551"/>
    <w:rsid w:val="00286739"/>
    <w:rsid w:val="00286F3F"/>
    <w:rsid w:val="002875B2"/>
    <w:rsid w:val="002901C9"/>
    <w:rsid w:val="0029143C"/>
    <w:rsid w:val="0029175E"/>
    <w:rsid w:val="00291A36"/>
    <w:rsid w:val="00292653"/>
    <w:rsid w:val="00292E73"/>
    <w:rsid w:val="0029326A"/>
    <w:rsid w:val="002932B4"/>
    <w:rsid w:val="00293A81"/>
    <w:rsid w:val="00294236"/>
    <w:rsid w:val="00295591"/>
    <w:rsid w:val="00296116"/>
    <w:rsid w:val="00296A25"/>
    <w:rsid w:val="00296BDF"/>
    <w:rsid w:val="00296CF3"/>
    <w:rsid w:val="00296EE4"/>
    <w:rsid w:val="00297054"/>
    <w:rsid w:val="00297DCC"/>
    <w:rsid w:val="002A003B"/>
    <w:rsid w:val="002A0BA0"/>
    <w:rsid w:val="002A189E"/>
    <w:rsid w:val="002A1D7C"/>
    <w:rsid w:val="002A4363"/>
    <w:rsid w:val="002A4866"/>
    <w:rsid w:val="002A4A5A"/>
    <w:rsid w:val="002A66CB"/>
    <w:rsid w:val="002A680D"/>
    <w:rsid w:val="002A6FBB"/>
    <w:rsid w:val="002A730B"/>
    <w:rsid w:val="002B0BC8"/>
    <w:rsid w:val="002B2921"/>
    <w:rsid w:val="002B3016"/>
    <w:rsid w:val="002B370E"/>
    <w:rsid w:val="002B4D8B"/>
    <w:rsid w:val="002B4EDE"/>
    <w:rsid w:val="002B6407"/>
    <w:rsid w:val="002B68A5"/>
    <w:rsid w:val="002B6CC1"/>
    <w:rsid w:val="002B7141"/>
    <w:rsid w:val="002B78DD"/>
    <w:rsid w:val="002B7CE9"/>
    <w:rsid w:val="002B7E10"/>
    <w:rsid w:val="002C1016"/>
    <w:rsid w:val="002C3BC4"/>
    <w:rsid w:val="002C3EFA"/>
    <w:rsid w:val="002C4B11"/>
    <w:rsid w:val="002C52B2"/>
    <w:rsid w:val="002C5506"/>
    <w:rsid w:val="002C6EDC"/>
    <w:rsid w:val="002C706C"/>
    <w:rsid w:val="002C788C"/>
    <w:rsid w:val="002D0607"/>
    <w:rsid w:val="002D0B7B"/>
    <w:rsid w:val="002D0EEF"/>
    <w:rsid w:val="002D165F"/>
    <w:rsid w:val="002D258F"/>
    <w:rsid w:val="002D39F5"/>
    <w:rsid w:val="002D40A7"/>
    <w:rsid w:val="002D45DB"/>
    <w:rsid w:val="002D4709"/>
    <w:rsid w:val="002D4ACD"/>
    <w:rsid w:val="002D4DD8"/>
    <w:rsid w:val="002D566A"/>
    <w:rsid w:val="002D5C26"/>
    <w:rsid w:val="002D62FC"/>
    <w:rsid w:val="002D65F6"/>
    <w:rsid w:val="002D6A16"/>
    <w:rsid w:val="002D6EAC"/>
    <w:rsid w:val="002D7875"/>
    <w:rsid w:val="002D7ADE"/>
    <w:rsid w:val="002D7F4A"/>
    <w:rsid w:val="002E0652"/>
    <w:rsid w:val="002E0A05"/>
    <w:rsid w:val="002E193B"/>
    <w:rsid w:val="002E1A6E"/>
    <w:rsid w:val="002E2508"/>
    <w:rsid w:val="002E2BEA"/>
    <w:rsid w:val="002E37EA"/>
    <w:rsid w:val="002E38E4"/>
    <w:rsid w:val="002E4196"/>
    <w:rsid w:val="002E4455"/>
    <w:rsid w:val="002E4ED0"/>
    <w:rsid w:val="002E536D"/>
    <w:rsid w:val="002E57E3"/>
    <w:rsid w:val="002E5D69"/>
    <w:rsid w:val="002E6291"/>
    <w:rsid w:val="002E674B"/>
    <w:rsid w:val="002E76D9"/>
    <w:rsid w:val="002F0168"/>
    <w:rsid w:val="002F0314"/>
    <w:rsid w:val="002F0D07"/>
    <w:rsid w:val="002F1787"/>
    <w:rsid w:val="002F3F27"/>
    <w:rsid w:val="002F4094"/>
    <w:rsid w:val="002F4D63"/>
    <w:rsid w:val="002F51A9"/>
    <w:rsid w:val="002F53C2"/>
    <w:rsid w:val="002F56AA"/>
    <w:rsid w:val="002F5787"/>
    <w:rsid w:val="002F63AD"/>
    <w:rsid w:val="002F7CE8"/>
    <w:rsid w:val="00301E5E"/>
    <w:rsid w:val="0030239C"/>
    <w:rsid w:val="00302E84"/>
    <w:rsid w:val="00305ADD"/>
    <w:rsid w:val="00306EBD"/>
    <w:rsid w:val="00311940"/>
    <w:rsid w:val="00311AAE"/>
    <w:rsid w:val="00311D7F"/>
    <w:rsid w:val="00312C98"/>
    <w:rsid w:val="003137E2"/>
    <w:rsid w:val="003139E4"/>
    <w:rsid w:val="00314734"/>
    <w:rsid w:val="00314D93"/>
    <w:rsid w:val="0031666A"/>
    <w:rsid w:val="00316CEF"/>
    <w:rsid w:val="00316F9A"/>
    <w:rsid w:val="003172E5"/>
    <w:rsid w:val="0031769D"/>
    <w:rsid w:val="00317F3E"/>
    <w:rsid w:val="003201A8"/>
    <w:rsid w:val="00320C1F"/>
    <w:rsid w:val="00322322"/>
    <w:rsid w:val="00322D1B"/>
    <w:rsid w:val="00322F1C"/>
    <w:rsid w:val="00323DAF"/>
    <w:rsid w:val="003248FB"/>
    <w:rsid w:val="0032566F"/>
    <w:rsid w:val="00325BD6"/>
    <w:rsid w:val="00325E7B"/>
    <w:rsid w:val="0032612D"/>
    <w:rsid w:val="0032711C"/>
    <w:rsid w:val="003271BD"/>
    <w:rsid w:val="0032734C"/>
    <w:rsid w:val="003273E1"/>
    <w:rsid w:val="00327BB2"/>
    <w:rsid w:val="0033060C"/>
    <w:rsid w:val="0033119E"/>
    <w:rsid w:val="0033189A"/>
    <w:rsid w:val="003319BB"/>
    <w:rsid w:val="00331E06"/>
    <w:rsid w:val="00332780"/>
    <w:rsid w:val="00333A2F"/>
    <w:rsid w:val="00333E48"/>
    <w:rsid w:val="00334342"/>
    <w:rsid w:val="00334997"/>
    <w:rsid w:val="00336E5C"/>
    <w:rsid w:val="003377C8"/>
    <w:rsid w:val="0033794D"/>
    <w:rsid w:val="00337C61"/>
    <w:rsid w:val="00340416"/>
    <w:rsid w:val="003408C9"/>
    <w:rsid w:val="00341C39"/>
    <w:rsid w:val="00341E1E"/>
    <w:rsid w:val="003433A5"/>
    <w:rsid w:val="0034440F"/>
    <w:rsid w:val="0034471E"/>
    <w:rsid w:val="00344F2D"/>
    <w:rsid w:val="00345514"/>
    <w:rsid w:val="00345A0D"/>
    <w:rsid w:val="00346742"/>
    <w:rsid w:val="003469BF"/>
    <w:rsid w:val="003477DE"/>
    <w:rsid w:val="00350B15"/>
    <w:rsid w:val="0035150E"/>
    <w:rsid w:val="00351F48"/>
    <w:rsid w:val="0035206C"/>
    <w:rsid w:val="00352725"/>
    <w:rsid w:val="00353868"/>
    <w:rsid w:val="00353E3A"/>
    <w:rsid w:val="00354267"/>
    <w:rsid w:val="00354676"/>
    <w:rsid w:val="00356178"/>
    <w:rsid w:val="003565E6"/>
    <w:rsid w:val="00356ABC"/>
    <w:rsid w:val="00356D2F"/>
    <w:rsid w:val="00356DFC"/>
    <w:rsid w:val="003573AE"/>
    <w:rsid w:val="00357AA6"/>
    <w:rsid w:val="00357CC0"/>
    <w:rsid w:val="00357DDA"/>
    <w:rsid w:val="003620C8"/>
    <w:rsid w:val="00362B50"/>
    <w:rsid w:val="00362E0D"/>
    <w:rsid w:val="0036395E"/>
    <w:rsid w:val="003639B6"/>
    <w:rsid w:val="00364F72"/>
    <w:rsid w:val="003660DB"/>
    <w:rsid w:val="003664DD"/>
    <w:rsid w:val="00367035"/>
    <w:rsid w:val="00370173"/>
    <w:rsid w:val="00370473"/>
    <w:rsid w:val="00370504"/>
    <w:rsid w:val="00370AB0"/>
    <w:rsid w:val="00371364"/>
    <w:rsid w:val="0037369C"/>
    <w:rsid w:val="003737C8"/>
    <w:rsid w:val="003743F9"/>
    <w:rsid w:val="003749B5"/>
    <w:rsid w:val="00374E8E"/>
    <w:rsid w:val="0037612E"/>
    <w:rsid w:val="00376E92"/>
    <w:rsid w:val="003776B9"/>
    <w:rsid w:val="00380723"/>
    <w:rsid w:val="00380C43"/>
    <w:rsid w:val="00381EDB"/>
    <w:rsid w:val="00382428"/>
    <w:rsid w:val="00382704"/>
    <w:rsid w:val="00382AEC"/>
    <w:rsid w:val="0038373D"/>
    <w:rsid w:val="003843F1"/>
    <w:rsid w:val="003858CD"/>
    <w:rsid w:val="003859ED"/>
    <w:rsid w:val="00386331"/>
    <w:rsid w:val="0038698E"/>
    <w:rsid w:val="00386D0F"/>
    <w:rsid w:val="00387AB3"/>
    <w:rsid w:val="00387B18"/>
    <w:rsid w:val="003905D5"/>
    <w:rsid w:val="0039065F"/>
    <w:rsid w:val="00391C3F"/>
    <w:rsid w:val="003927A2"/>
    <w:rsid w:val="00392A65"/>
    <w:rsid w:val="00392B2D"/>
    <w:rsid w:val="00392F05"/>
    <w:rsid w:val="00393662"/>
    <w:rsid w:val="003942A2"/>
    <w:rsid w:val="00394391"/>
    <w:rsid w:val="0039471F"/>
    <w:rsid w:val="00394918"/>
    <w:rsid w:val="003951C2"/>
    <w:rsid w:val="003953A0"/>
    <w:rsid w:val="003956DF"/>
    <w:rsid w:val="003960D1"/>
    <w:rsid w:val="003963C3"/>
    <w:rsid w:val="003970CB"/>
    <w:rsid w:val="00397453"/>
    <w:rsid w:val="00397FA1"/>
    <w:rsid w:val="003A01A5"/>
    <w:rsid w:val="003A0353"/>
    <w:rsid w:val="003A0A5F"/>
    <w:rsid w:val="003A2107"/>
    <w:rsid w:val="003A23FE"/>
    <w:rsid w:val="003A3D28"/>
    <w:rsid w:val="003A5DF7"/>
    <w:rsid w:val="003A69F2"/>
    <w:rsid w:val="003A6B29"/>
    <w:rsid w:val="003A6C87"/>
    <w:rsid w:val="003A6E35"/>
    <w:rsid w:val="003A7309"/>
    <w:rsid w:val="003B221B"/>
    <w:rsid w:val="003B254C"/>
    <w:rsid w:val="003B33EE"/>
    <w:rsid w:val="003B5110"/>
    <w:rsid w:val="003B7735"/>
    <w:rsid w:val="003C070E"/>
    <w:rsid w:val="003C1E47"/>
    <w:rsid w:val="003C3B20"/>
    <w:rsid w:val="003C4D5C"/>
    <w:rsid w:val="003C5764"/>
    <w:rsid w:val="003C6FFD"/>
    <w:rsid w:val="003C756F"/>
    <w:rsid w:val="003C761E"/>
    <w:rsid w:val="003D03C9"/>
    <w:rsid w:val="003D09EB"/>
    <w:rsid w:val="003D0C0F"/>
    <w:rsid w:val="003D10CF"/>
    <w:rsid w:val="003D13BD"/>
    <w:rsid w:val="003D1718"/>
    <w:rsid w:val="003D1C64"/>
    <w:rsid w:val="003D1E09"/>
    <w:rsid w:val="003D30A4"/>
    <w:rsid w:val="003D3168"/>
    <w:rsid w:val="003D40DE"/>
    <w:rsid w:val="003D43B3"/>
    <w:rsid w:val="003D4A4D"/>
    <w:rsid w:val="003D5A25"/>
    <w:rsid w:val="003D5B2F"/>
    <w:rsid w:val="003D5E2E"/>
    <w:rsid w:val="003D671C"/>
    <w:rsid w:val="003E050E"/>
    <w:rsid w:val="003E106D"/>
    <w:rsid w:val="003E15A2"/>
    <w:rsid w:val="003E2253"/>
    <w:rsid w:val="003E2380"/>
    <w:rsid w:val="003E2690"/>
    <w:rsid w:val="003E37D6"/>
    <w:rsid w:val="003E3BD6"/>
    <w:rsid w:val="003E3F36"/>
    <w:rsid w:val="003E4333"/>
    <w:rsid w:val="003E52C8"/>
    <w:rsid w:val="003E532D"/>
    <w:rsid w:val="003E5ECD"/>
    <w:rsid w:val="003E5F21"/>
    <w:rsid w:val="003E61D2"/>
    <w:rsid w:val="003E6B06"/>
    <w:rsid w:val="003E6C9D"/>
    <w:rsid w:val="003E78D2"/>
    <w:rsid w:val="003E79BB"/>
    <w:rsid w:val="003F023E"/>
    <w:rsid w:val="003F04E9"/>
    <w:rsid w:val="003F36F8"/>
    <w:rsid w:val="003F3F53"/>
    <w:rsid w:val="003F4E36"/>
    <w:rsid w:val="003F5036"/>
    <w:rsid w:val="003F6037"/>
    <w:rsid w:val="003F606E"/>
    <w:rsid w:val="003F667F"/>
    <w:rsid w:val="003F7619"/>
    <w:rsid w:val="00400B42"/>
    <w:rsid w:val="00400CB8"/>
    <w:rsid w:val="00401DFB"/>
    <w:rsid w:val="00401FF6"/>
    <w:rsid w:val="00402208"/>
    <w:rsid w:val="00402488"/>
    <w:rsid w:val="00402677"/>
    <w:rsid w:val="0040344B"/>
    <w:rsid w:val="0040358C"/>
    <w:rsid w:val="004041DC"/>
    <w:rsid w:val="004044E0"/>
    <w:rsid w:val="0040468C"/>
    <w:rsid w:val="0040484C"/>
    <w:rsid w:val="0040498B"/>
    <w:rsid w:val="00404FFA"/>
    <w:rsid w:val="00405D0C"/>
    <w:rsid w:val="00406983"/>
    <w:rsid w:val="00406F5C"/>
    <w:rsid w:val="004071A1"/>
    <w:rsid w:val="00407D7F"/>
    <w:rsid w:val="004113FC"/>
    <w:rsid w:val="0041161F"/>
    <w:rsid w:val="00411F34"/>
    <w:rsid w:val="004122CF"/>
    <w:rsid w:val="00412460"/>
    <w:rsid w:val="004127BD"/>
    <w:rsid w:val="00412B0F"/>
    <w:rsid w:val="00412E02"/>
    <w:rsid w:val="00413180"/>
    <w:rsid w:val="0041369D"/>
    <w:rsid w:val="00413F03"/>
    <w:rsid w:val="00415248"/>
    <w:rsid w:val="004153EE"/>
    <w:rsid w:val="004154CD"/>
    <w:rsid w:val="0041708A"/>
    <w:rsid w:val="00417585"/>
    <w:rsid w:val="0041758A"/>
    <w:rsid w:val="00417F28"/>
    <w:rsid w:val="00420A95"/>
    <w:rsid w:val="00420D0B"/>
    <w:rsid w:val="00421353"/>
    <w:rsid w:val="00421824"/>
    <w:rsid w:val="00422EEF"/>
    <w:rsid w:val="00423CB3"/>
    <w:rsid w:val="00424CF8"/>
    <w:rsid w:val="00424E58"/>
    <w:rsid w:val="00424EAC"/>
    <w:rsid w:val="004255A3"/>
    <w:rsid w:val="00425F69"/>
    <w:rsid w:val="00426333"/>
    <w:rsid w:val="00426C34"/>
    <w:rsid w:val="00426D31"/>
    <w:rsid w:val="00427473"/>
    <w:rsid w:val="00427E3A"/>
    <w:rsid w:val="004305E4"/>
    <w:rsid w:val="00430D7D"/>
    <w:rsid w:val="00430E9C"/>
    <w:rsid w:val="00430F5F"/>
    <w:rsid w:val="00431A5E"/>
    <w:rsid w:val="004325F0"/>
    <w:rsid w:val="00433627"/>
    <w:rsid w:val="0043468C"/>
    <w:rsid w:val="00434AF2"/>
    <w:rsid w:val="00434BCE"/>
    <w:rsid w:val="00434C00"/>
    <w:rsid w:val="0043579C"/>
    <w:rsid w:val="0043616F"/>
    <w:rsid w:val="00437006"/>
    <w:rsid w:val="00437688"/>
    <w:rsid w:val="004407CC"/>
    <w:rsid w:val="00440800"/>
    <w:rsid w:val="0044216B"/>
    <w:rsid w:val="00442791"/>
    <w:rsid w:val="00442961"/>
    <w:rsid w:val="00443A49"/>
    <w:rsid w:val="00443D35"/>
    <w:rsid w:val="0044463D"/>
    <w:rsid w:val="004455E3"/>
    <w:rsid w:val="004458CA"/>
    <w:rsid w:val="00445C75"/>
    <w:rsid w:val="00445D55"/>
    <w:rsid w:val="00446B63"/>
    <w:rsid w:val="00446C56"/>
    <w:rsid w:val="0045027F"/>
    <w:rsid w:val="00450281"/>
    <w:rsid w:val="00450369"/>
    <w:rsid w:val="0045095B"/>
    <w:rsid w:val="004510C2"/>
    <w:rsid w:val="00451182"/>
    <w:rsid w:val="00451E64"/>
    <w:rsid w:val="00452786"/>
    <w:rsid w:val="00452E79"/>
    <w:rsid w:val="004536B8"/>
    <w:rsid w:val="004542B5"/>
    <w:rsid w:val="00454FD2"/>
    <w:rsid w:val="00455ABC"/>
    <w:rsid w:val="004569C2"/>
    <w:rsid w:val="00456E52"/>
    <w:rsid w:val="004571CC"/>
    <w:rsid w:val="00457742"/>
    <w:rsid w:val="00457B2F"/>
    <w:rsid w:val="004604AD"/>
    <w:rsid w:val="0046055E"/>
    <w:rsid w:val="00460729"/>
    <w:rsid w:val="0046081F"/>
    <w:rsid w:val="00460A7B"/>
    <w:rsid w:val="00460A87"/>
    <w:rsid w:val="00463413"/>
    <w:rsid w:val="00463EA4"/>
    <w:rsid w:val="00465AA9"/>
    <w:rsid w:val="00465F1A"/>
    <w:rsid w:val="00465F47"/>
    <w:rsid w:val="00466510"/>
    <w:rsid w:val="00466C25"/>
    <w:rsid w:val="004675C2"/>
    <w:rsid w:val="0047012A"/>
    <w:rsid w:val="004702E1"/>
    <w:rsid w:val="00470768"/>
    <w:rsid w:val="0047210D"/>
    <w:rsid w:val="00472B0D"/>
    <w:rsid w:val="00472D68"/>
    <w:rsid w:val="00472F70"/>
    <w:rsid w:val="00473573"/>
    <w:rsid w:val="004741A1"/>
    <w:rsid w:val="00474248"/>
    <w:rsid w:val="004749BD"/>
    <w:rsid w:val="0047511D"/>
    <w:rsid w:val="00475BDA"/>
    <w:rsid w:val="00475EF7"/>
    <w:rsid w:val="0048369D"/>
    <w:rsid w:val="004838AE"/>
    <w:rsid w:val="00483C60"/>
    <w:rsid w:val="004841AA"/>
    <w:rsid w:val="004842FB"/>
    <w:rsid w:val="00484E4B"/>
    <w:rsid w:val="00485214"/>
    <w:rsid w:val="0048575B"/>
    <w:rsid w:val="00485E39"/>
    <w:rsid w:val="00486603"/>
    <w:rsid w:val="00486609"/>
    <w:rsid w:val="004876A2"/>
    <w:rsid w:val="0049025B"/>
    <w:rsid w:val="0049165E"/>
    <w:rsid w:val="00491CB1"/>
    <w:rsid w:val="00491F8A"/>
    <w:rsid w:val="00492560"/>
    <w:rsid w:val="00492AF1"/>
    <w:rsid w:val="00493B68"/>
    <w:rsid w:val="00495849"/>
    <w:rsid w:val="004958F7"/>
    <w:rsid w:val="0049624A"/>
    <w:rsid w:val="0049630B"/>
    <w:rsid w:val="004977D3"/>
    <w:rsid w:val="004A07CE"/>
    <w:rsid w:val="004A1DEF"/>
    <w:rsid w:val="004A50C0"/>
    <w:rsid w:val="004A51E9"/>
    <w:rsid w:val="004A69FB"/>
    <w:rsid w:val="004A6BFC"/>
    <w:rsid w:val="004A75FE"/>
    <w:rsid w:val="004B0A96"/>
    <w:rsid w:val="004B0D14"/>
    <w:rsid w:val="004B0D72"/>
    <w:rsid w:val="004B244E"/>
    <w:rsid w:val="004B291C"/>
    <w:rsid w:val="004B2E36"/>
    <w:rsid w:val="004B3788"/>
    <w:rsid w:val="004B4447"/>
    <w:rsid w:val="004B50D9"/>
    <w:rsid w:val="004B5545"/>
    <w:rsid w:val="004B573E"/>
    <w:rsid w:val="004B6306"/>
    <w:rsid w:val="004B65C7"/>
    <w:rsid w:val="004B6AB4"/>
    <w:rsid w:val="004B70E0"/>
    <w:rsid w:val="004B70F3"/>
    <w:rsid w:val="004B7BC2"/>
    <w:rsid w:val="004C0261"/>
    <w:rsid w:val="004C0528"/>
    <w:rsid w:val="004C1416"/>
    <w:rsid w:val="004C1C2D"/>
    <w:rsid w:val="004C26CB"/>
    <w:rsid w:val="004C2F27"/>
    <w:rsid w:val="004C39F2"/>
    <w:rsid w:val="004C443D"/>
    <w:rsid w:val="004C44FA"/>
    <w:rsid w:val="004C5057"/>
    <w:rsid w:val="004C6510"/>
    <w:rsid w:val="004C65C2"/>
    <w:rsid w:val="004C67FD"/>
    <w:rsid w:val="004C6AEC"/>
    <w:rsid w:val="004C7D08"/>
    <w:rsid w:val="004D0239"/>
    <w:rsid w:val="004D0B22"/>
    <w:rsid w:val="004D0CD7"/>
    <w:rsid w:val="004D0F38"/>
    <w:rsid w:val="004D18E3"/>
    <w:rsid w:val="004D1B60"/>
    <w:rsid w:val="004D1C48"/>
    <w:rsid w:val="004D21F5"/>
    <w:rsid w:val="004D357E"/>
    <w:rsid w:val="004D3D9C"/>
    <w:rsid w:val="004D3F6B"/>
    <w:rsid w:val="004D4EF0"/>
    <w:rsid w:val="004D4F6C"/>
    <w:rsid w:val="004D51A5"/>
    <w:rsid w:val="004D5415"/>
    <w:rsid w:val="004D67AB"/>
    <w:rsid w:val="004D6C9C"/>
    <w:rsid w:val="004D7250"/>
    <w:rsid w:val="004D7B57"/>
    <w:rsid w:val="004E02D5"/>
    <w:rsid w:val="004E1EE1"/>
    <w:rsid w:val="004E2364"/>
    <w:rsid w:val="004E3290"/>
    <w:rsid w:val="004E3875"/>
    <w:rsid w:val="004E5BA4"/>
    <w:rsid w:val="004E6483"/>
    <w:rsid w:val="004E6654"/>
    <w:rsid w:val="004E6C6B"/>
    <w:rsid w:val="004E7813"/>
    <w:rsid w:val="004E78DB"/>
    <w:rsid w:val="004F0D4A"/>
    <w:rsid w:val="004F0F92"/>
    <w:rsid w:val="004F3DC5"/>
    <w:rsid w:val="004F544E"/>
    <w:rsid w:val="004F6678"/>
    <w:rsid w:val="004F6D83"/>
    <w:rsid w:val="004F7814"/>
    <w:rsid w:val="004F7E49"/>
    <w:rsid w:val="00500898"/>
    <w:rsid w:val="005037E4"/>
    <w:rsid w:val="00503878"/>
    <w:rsid w:val="005047FC"/>
    <w:rsid w:val="00504963"/>
    <w:rsid w:val="00506B9A"/>
    <w:rsid w:val="0050751C"/>
    <w:rsid w:val="0050790D"/>
    <w:rsid w:val="005106C5"/>
    <w:rsid w:val="00510E2A"/>
    <w:rsid w:val="00511112"/>
    <w:rsid w:val="00511837"/>
    <w:rsid w:val="00511FEE"/>
    <w:rsid w:val="0051337A"/>
    <w:rsid w:val="0051431A"/>
    <w:rsid w:val="00514B99"/>
    <w:rsid w:val="00515AB0"/>
    <w:rsid w:val="00516D39"/>
    <w:rsid w:val="00516FC2"/>
    <w:rsid w:val="00517318"/>
    <w:rsid w:val="0051738E"/>
    <w:rsid w:val="00517845"/>
    <w:rsid w:val="00517ECD"/>
    <w:rsid w:val="00520145"/>
    <w:rsid w:val="0052034A"/>
    <w:rsid w:val="00520486"/>
    <w:rsid w:val="00520968"/>
    <w:rsid w:val="005216E1"/>
    <w:rsid w:val="00522EDC"/>
    <w:rsid w:val="00523A01"/>
    <w:rsid w:val="005240D9"/>
    <w:rsid w:val="005242FC"/>
    <w:rsid w:val="00524506"/>
    <w:rsid w:val="00524552"/>
    <w:rsid w:val="0052492E"/>
    <w:rsid w:val="00524C53"/>
    <w:rsid w:val="00524EC8"/>
    <w:rsid w:val="00524EF5"/>
    <w:rsid w:val="005257C1"/>
    <w:rsid w:val="005257D2"/>
    <w:rsid w:val="00525A16"/>
    <w:rsid w:val="00526081"/>
    <w:rsid w:val="00526FF1"/>
    <w:rsid w:val="0052786F"/>
    <w:rsid w:val="005279B5"/>
    <w:rsid w:val="00530122"/>
    <w:rsid w:val="0053033E"/>
    <w:rsid w:val="00530706"/>
    <w:rsid w:val="00530E9C"/>
    <w:rsid w:val="00530F08"/>
    <w:rsid w:val="00532DA0"/>
    <w:rsid w:val="00533345"/>
    <w:rsid w:val="005339E7"/>
    <w:rsid w:val="00534396"/>
    <w:rsid w:val="005347F9"/>
    <w:rsid w:val="00535B95"/>
    <w:rsid w:val="00535C4C"/>
    <w:rsid w:val="00536D2E"/>
    <w:rsid w:val="00537CD5"/>
    <w:rsid w:val="00537FAD"/>
    <w:rsid w:val="00540218"/>
    <w:rsid w:val="005408CF"/>
    <w:rsid w:val="0054105C"/>
    <w:rsid w:val="00541090"/>
    <w:rsid w:val="00541B50"/>
    <w:rsid w:val="005424F8"/>
    <w:rsid w:val="00543106"/>
    <w:rsid w:val="00543361"/>
    <w:rsid w:val="00543B44"/>
    <w:rsid w:val="00543FAD"/>
    <w:rsid w:val="00543FC0"/>
    <w:rsid w:val="00544E5D"/>
    <w:rsid w:val="005450E3"/>
    <w:rsid w:val="00545C2F"/>
    <w:rsid w:val="00546330"/>
    <w:rsid w:val="005463FF"/>
    <w:rsid w:val="00546686"/>
    <w:rsid w:val="00546FE0"/>
    <w:rsid w:val="00550818"/>
    <w:rsid w:val="00550DC6"/>
    <w:rsid w:val="005510AB"/>
    <w:rsid w:val="005517FC"/>
    <w:rsid w:val="00552465"/>
    <w:rsid w:val="0055340F"/>
    <w:rsid w:val="00554F55"/>
    <w:rsid w:val="0055648F"/>
    <w:rsid w:val="0055701E"/>
    <w:rsid w:val="005579B4"/>
    <w:rsid w:val="00557BF1"/>
    <w:rsid w:val="0056067D"/>
    <w:rsid w:val="00560EBA"/>
    <w:rsid w:val="00561FCF"/>
    <w:rsid w:val="00562215"/>
    <w:rsid w:val="00562D5A"/>
    <w:rsid w:val="005649CD"/>
    <w:rsid w:val="00564F01"/>
    <w:rsid w:val="005659B6"/>
    <w:rsid w:val="00565DD9"/>
    <w:rsid w:val="005669B5"/>
    <w:rsid w:val="00566E81"/>
    <w:rsid w:val="00567380"/>
    <w:rsid w:val="005677E7"/>
    <w:rsid w:val="005700D5"/>
    <w:rsid w:val="005703A7"/>
    <w:rsid w:val="005709E8"/>
    <w:rsid w:val="0057177A"/>
    <w:rsid w:val="0057228A"/>
    <w:rsid w:val="00572B45"/>
    <w:rsid w:val="00573FF2"/>
    <w:rsid w:val="005747FC"/>
    <w:rsid w:val="00574BDC"/>
    <w:rsid w:val="00575041"/>
    <w:rsid w:val="00575482"/>
    <w:rsid w:val="00575E2E"/>
    <w:rsid w:val="00576A20"/>
    <w:rsid w:val="00577465"/>
    <w:rsid w:val="00577A43"/>
    <w:rsid w:val="00577FAF"/>
    <w:rsid w:val="00582052"/>
    <w:rsid w:val="005823DA"/>
    <w:rsid w:val="00582956"/>
    <w:rsid w:val="005835A7"/>
    <w:rsid w:val="005835CA"/>
    <w:rsid w:val="00584247"/>
    <w:rsid w:val="005847BF"/>
    <w:rsid w:val="005853E5"/>
    <w:rsid w:val="00585E31"/>
    <w:rsid w:val="00586365"/>
    <w:rsid w:val="005863B9"/>
    <w:rsid w:val="005865C6"/>
    <w:rsid w:val="0058762D"/>
    <w:rsid w:val="005904E1"/>
    <w:rsid w:val="0059080E"/>
    <w:rsid w:val="005909B4"/>
    <w:rsid w:val="0059137A"/>
    <w:rsid w:val="005913EB"/>
    <w:rsid w:val="00591459"/>
    <w:rsid w:val="00592BA9"/>
    <w:rsid w:val="00593224"/>
    <w:rsid w:val="00593721"/>
    <w:rsid w:val="00593829"/>
    <w:rsid w:val="00593FB5"/>
    <w:rsid w:val="00594C28"/>
    <w:rsid w:val="0059507D"/>
    <w:rsid w:val="0059552A"/>
    <w:rsid w:val="00595682"/>
    <w:rsid w:val="00595F32"/>
    <w:rsid w:val="00596A01"/>
    <w:rsid w:val="005A02B2"/>
    <w:rsid w:val="005A0416"/>
    <w:rsid w:val="005A0945"/>
    <w:rsid w:val="005A15DD"/>
    <w:rsid w:val="005A2A01"/>
    <w:rsid w:val="005A308C"/>
    <w:rsid w:val="005A397F"/>
    <w:rsid w:val="005A423F"/>
    <w:rsid w:val="005A4D25"/>
    <w:rsid w:val="005A61AA"/>
    <w:rsid w:val="005A7B55"/>
    <w:rsid w:val="005B080C"/>
    <w:rsid w:val="005B0F4C"/>
    <w:rsid w:val="005B35CB"/>
    <w:rsid w:val="005B3FFC"/>
    <w:rsid w:val="005B43DC"/>
    <w:rsid w:val="005B4B9C"/>
    <w:rsid w:val="005B4E5D"/>
    <w:rsid w:val="005B5ECF"/>
    <w:rsid w:val="005B64DF"/>
    <w:rsid w:val="005B6DB5"/>
    <w:rsid w:val="005B7326"/>
    <w:rsid w:val="005B7EA6"/>
    <w:rsid w:val="005C0C4D"/>
    <w:rsid w:val="005C1451"/>
    <w:rsid w:val="005C17D5"/>
    <w:rsid w:val="005C1B16"/>
    <w:rsid w:val="005C1BB1"/>
    <w:rsid w:val="005C2616"/>
    <w:rsid w:val="005C3B40"/>
    <w:rsid w:val="005C3BF4"/>
    <w:rsid w:val="005C4541"/>
    <w:rsid w:val="005C4566"/>
    <w:rsid w:val="005C495C"/>
    <w:rsid w:val="005C52C9"/>
    <w:rsid w:val="005C6DF9"/>
    <w:rsid w:val="005C791E"/>
    <w:rsid w:val="005C7E1D"/>
    <w:rsid w:val="005C7F3E"/>
    <w:rsid w:val="005D061E"/>
    <w:rsid w:val="005D15E9"/>
    <w:rsid w:val="005D1CFA"/>
    <w:rsid w:val="005D2283"/>
    <w:rsid w:val="005D2782"/>
    <w:rsid w:val="005D2841"/>
    <w:rsid w:val="005D2AC6"/>
    <w:rsid w:val="005D3F9F"/>
    <w:rsid w:val="005D43C6"/>
    <w:rsid w:val="005D465E"/>
    <w:rsid w:val="005D494F"/>
    <w:rsid w:val="005D4AF0"/>
    <w:rsid w:val="005D5981"/>
    <w:rsid w:val="005D6347"/>
    <w:rsid w:val="005D6AB6"/>
    <w:rsid w:val="005D6AE6"/>
    <w:rsid w:val="005D6CAC"/>
    <w:rsid w:val="005D6D01"/>
    <w:rsid w:val="005D70D7"/>
    <w:rsid w:val="005D7AF3"/>
    <w:rsid w:val="005E06CB"/>
    <w:rsid w:val="005E0760"/>
    <w:rsid w:val="005E0D2C"/>
    <w:rsid w:val="005E11B5"/>
    <w:rsid w:val="005E12AA"/>
    <w:rsid w:val="005E1707"/>
    <w:rsid w:val="005E4591"/>
    <w:rsid w:val="005E4E44"/>
    <w:rsid w:val="005E5B7F"/>
    <w:rsid w:val="005E65BF"/>
    <w:rsid w:val="005E65D9"/>
    <w:rsid w:val="005E65E8"/>
    <w:rsid w:val="005E6E5B"/>
    <w:rsid w:val="005E7643"/>
    <w:rsid w:val="005E7A18"/>
    <w:rsid w:val="005F05DB"/>
    <w:rsid w:val="005F0A75"/>
    <w:rsid w:val="005F1CAB"/>
    <w:rsid w:val="005F1DB9"/>
    <w:rsid w:val="005F26C0"/>
    <w:rsid w:val="005F43C4"/>
    <w:rsid w:val="005F4538"/>
    <w:rsid w:val="005F491D"/>
    <w:rsid w:val="005F4CE8"/>
    <w:rsid w:val="005F5233"/>
    <w:rsid w:val="005F578F"/>
    <w:rsid w:val="005F6441"/>
    <w:rsid w:val="005F7635"/>
    <w:rsid w:val="00600357"/>
    <w:rsid w:val="00600738"/>
    <w:rsid w:val="0060100E"/>
    <w:rsid w:val="0060155A"/>
    <w:rsid w:val="00601848"/>
    <w:rsid w:val="00601862"/>
    <w:rsid w:val="00601FE8"/>
    <w:rsid w:val="00602C13"/>
    <w:rsid w:val="006038E1"/>
    <w:rsid w:val="006038FB"/>
    <w:rsid w:val="00603FB6"/>
    <w:rsid w:val="0060510D"/>
    <w:rsid w:val="00606AF7"/>
    <w:rsid w:val="00606C25"/>
    <w:rsid w:val="0060744A"/>
    <w:rsid w:val="00607B38"/>
    <w:rsid w:val="00607DF0"/>
    <w:rsid w:val="00607F60"/>
    <w:rsid w:val="0061182F"/>
    <w:rsid w:val="006122DE"/>
    <w:rsid w:val="00613158"/>
    <w:rsid w:val="006134ED"/>
    <w:rsid w:val="00613863"/>
    <w:rsid w:val="0061511C"/>
    <w:rsid w:val="00617B58"/>
    <w:rsid w:val="00617F8B"/>
    <w:rsid w:val="00621F20"/>
    <w:rsid w:val="00622160"/>
    <w:rsid w:val="00622381"/>
    <w:rsid w:val="006224E4"/>
    <w:rsid w:val="006225E8"/>
    <w:rsid w:val="00622B2A"/>
    <w:rsid w:val="00622E2A"/>
    <w:rsid w:val="006230DB"/>
    <w:rsid w:val="0062443A"/>
    <w:rsid w:val="00624899"/>
    <w:rsid w:val="00624D8E"/>
    <w:rsid w:val="00624EFD"/>
    <w:rsid w:val="00625380"/>
    <w:rsid w:val="006264EC"/>
    <w:rsid w:val="0062725F"/>
    <w:rsid w:val="0063068F"/>
    <w:rsid w:val="00630736"/>
    <w:rsid w:val="00630BBC"/>
    <w:rsid w:val="0063168E"/>
    <w:rsid w:val="00631DC8"/>
    <w:rsid w:val="006328A5"/>
    <w:rsid w:val="00632BA5"/>
    <w:rsid w:val="006334E7"/>
    <w:rsid w:val="00633C06"/>
    <w:rsid w:val="00634BFA"/>
    <w:rsid w:val="00635062"/>
    <w:rsid w:val="00637716"/>
    <w:rsid w:val="00642178"/>
    <w:rsid w:val="00643B20"/>
    <w:rsid w:val="00645311"/>
    <w:rsid w:val="00645688"/>
    <w:rsid w:val="006459C5"/>
    <w:rsid w:val="00645F01"/>
    <w:rsid w:val="0064630F"/>
    <w:rsid w:val="00646638"/>
    <w:rsid w:val="00647464"/>
    <w:rsid w:val="00647555"/>
    <w:rsid w:val="006507EF"/>
    <w:rsid w:val="0065394D"/>
    <w:rsid w:val="006540D7"/>
    <w:rsid w:val="00654311"/>
    <w:rsid w:val="006548FC"/>
    <w:rsid w:val="0065499E"/>
    <w:rsid w:val="0065548C"/>
    <w:rsid w:val="00656DF0"/>
    <w:rsid w:val="00657C92"/>
    <w:rsid w:val="00660E64"/>
    <w:rsid w:val="00661497"/>
    <w:rsid w:val="00661830"/>
    <w:rsid w:val="006622E3"/>
    <w:rsid w:val="0066279E"/>
    <w:rsid w:val="00664128"/>
    <w:rsid w:val="00665D40"/>
    <w:rsid w:val="00666EE8"/>
    <w:rsid w:val="006701DF"/>
    <w:rsid w:val="00671019"/>
    <w:rsid w:val="006715C8"/>
    <w:rsid w:val="00671996"/>
    <w:rsid w:val="006725F0"/>
    <w:rsid w:val="006729D9"/>
    <w:rsid w:val="00672B21"/>
    <w:rsid w:val="00673007"/>
    <w:rsid w:val="006739C4"/>
    <w:rsid w:val="0067474F"/>
    <w:rsid w:val="0067518E"/>
    <w:rsid w:val="00675B21"/>
    <w:rsid w:val="00675EAD"/>
    <w:rsid w:val="006765B7"/>
    <w:rsid w:val="00676727"/>
    <w:rsid w:val="0067758A"/>
    <w:rsid w:val="0067762C"/>
    <w:rsid w:val="00680687"/>
    <w:rsid w:val="00680944"/>
    <w:rsid w:val="006809B5"/>
    <w:rsid w:val="00680EB5"/>
    <w:rsid w:val="0068216F"/>
    <w:rsid w:val="006821F8"/>
    <w:rsid w:val="00682762"/>
    <w:rsid w:val="00682B40"/>
    <w:rsid w:val="0068385F"/>
    <w:rsid w:val="00684559"/>
    <w:rsid w:val="00684AFF"/>
    <w:rsid w:val="00684BC7"/>
    <w:rsid w:val="006859AB"/>
    <w:rsid w:val="00686261"/>
    <w:rsid w:val="00686F88"/>
    <w:rsid w:val="00687642"/>
    <w:rsid w:val="006877FC"/>
    <w:rsid w:val="00687B7E"/>
    <w:rsid w:val="006900B5"/>
    <w:rsid w:val="006909AB"/>
    <w:rsid w:val="0069176B"/>
    <w:rsid w:val="0069357C"/>
    <w:rsid w:val="0069364A"/>
    <w:rsid w:val="00693805"/>
    <w:rsid w:val="00693CC5"/>
    <w:rsid w:val="0069462F"/>
    <w:rsid w:val="00694801"/>
    <w:rsid w:val="0069482E"/>
    <w:rsid w:val="00695C1F"/>
    <w:rsid w:val="00695E25"/>
    <w:rsid w:val="0069607F"/>
    <w:rsid w:val="006960E9"/>
    <w:rsid w:val="00696612"/>
    <w:rsid w:val="006970DF"/>
    <w:rsid w:val="00697857"/>
    <w:rsid w:val="00697F8C"/>
    <w:rsid w:val="006A0539"/>
    <w:rsid w:val="006A0691"/>
    <w:rsid w:val="006A074B"/>
    <w:rsid w:val="006A0AD3"/>
    <w:rsid w:val="006A1BE7"/>
    <w:rsid w:val="006A1C04"/>
    <w:rsid w:val="006A36F9"/>
    <w:rsid w:val="006A3B4C"/>
    <w:rsid w:val="006A3D52"/>
    <w:rsid w:val="006A42A3"/>
    <w:rsid w:val="006A44F5"/>
    <w:rsid w:val="006A4E72"/>
    <w:rsid w:val="006A6AB1"/>
    <w:rsid w:val="006A7719"/>
    <w:rsid w:val="006A7D36"/>
    <w:rsid w:val="006B0167"/>
    <w:rsid w:val="006B1128"/>
    <w:rsid w:val="006B120F"/>
    <w:rsid w:val="006B2CAD"/>
    <w:rsid w:val="006B2F0A"/>
    <w:rsid w:val="006B3966"/>
    <w:rsid w:val="006B3FDD"/>
    <w:rsid w:val="006B5799"/>
    <w:rsid w:val="006B579C"/>
    <w:rsid w:val="006B6048"/>
    <w:rsid w:val="006B6203"/>
    <w:rsid w:val="006B6C05"/>
    <w:rsid w:val="006B6FC1"/>
    <w:rsid w:val="006B73CE"/>
    <w:rsid w:val="006C094C"/>
    <w:rsid w:val="006C1232"/>
    <w:rsid w:val="006C185A"/>
    <w:rsid w:val="006C1988"/>
    <w:rsid w:val="006C1E49"/>
    <w:rsid w:val="006C2335"/>
    <w:rsid w:val="006C4C44"/>
    <w:rsid w:val="006C52AA"/>
    <w:rsid w:val="006C5300"/>
    <w:rsid w:val="006C5494"/>
    <w:rsid w:val="006C599C"/>
    <w:rsid w:val="006C739A"/>
    <w:rsid w:val="006D063C"/>
    <w:rsid w:val="006D07B8"/>
    <w:rsid w:val="006D186B"/>
    <w:rsid w:val="006D1D51"/>
    <w:rsid w:val="006D1FC0"/>
    <w:rsid w:val="006D2969"/>
    <w:rsid w:val="006D34B0"/>
    <w:rsid w:val="006D36D0"/>
    <w:rsid w:val="006D47C6"/>
    <w:rsid w:val="006D4DAD"/>
    <w:rsid w:val="006D5029"/>
    <w:rsid w:val="006D6456"/>
    <w:rsid w:val="006D66FE"/>
    <w:rsid w:val="006D7E6A"/>
    <w:rsid w:val="006D7FAE"/>
    <w:rsid w:val="006E0555"/>
    <w:rsid w:val="006E05F6"/>
    <w:rsid w:val="006E09FB"/>
    <w:rsid w:val="006E20CC"/>
    <w:rsid w:val="006E2B70"/>
    <w:rsid w:val="006E2CBC"/>
    <w:rsid w:val="006E2FAE"/>
    <w:rsid w:val="006E3A64"/>
    <w:rsid w:val="006E4770"/>
    <w:rsid w:val="006E4F23"/>
    <w:rsid w:val="006E581B"/>
    <w:rsid w:val="006E59E2"/>
    <w:rsid w:val="006E5C2D"/>
    <w:rsid w:val="006E696B"/>
    <w:rsid w:val="006E7990"/>
    <w:rsid w:val="006E7B55"/>
    <w:rsid w:val="006F08D0"/>
    <w:rsid w:val="006F0C58"/>
    <w:rsid w:val="006F1CFC"/>
    <w:rsid w:val="006F2030"/>
    <w:rsid w:val="006F2266"/>
    <w:rsid w:val="006F2605"/>
    <w:rsid w:val="006F280A"/>
    <w:rsid w:val="006F29B8"/>
    <w:rsid w:val="006F3091"/>
    <w:rsid w:val="006F44FB"/>
    <w:rsid w:val="006F4ACD"/>
    <w:rsid w:val="006F536C"/>
    <w:rsid w:val="006F57B6"/>
    <w:rsid w:val="006F5D69"/>
    <w:rsid w:val="006F5EE5"/>
    <w:rsid w:val="006F67A4"/>
    <w:rsid w:val="006F6951"/>
    <w:rsid w:val="006F758A"/>
    <w:rsid w:val="006F78D4"/>
    <w:rsid w:val="006F7B5D"/>
    <w:rsid w:val="006F7C8F"/>
    <w:rsid w:val="006F7F20"/>
    <w:rsid w:val="007007D4"/>
    <w:rsid w:val="00700AF2"/>
    <w:rsid w:val="0070121D"/>
    <w:rsid w:val="007014CE"/>
    <w:rsid w:val="007017C5"/>
    <w:rsid w:val="00701E4D"/>
    <w:rsid w:val="007026FF"/>
    <w:rsid w:val="00702ADB"/>
    <w:rsid w:val="00702B93"/>
    <w:rsid w:val="007034C6"/>
    <w:rsid w:val="00703ED7"/>
    <w:rsid w:val="00705402"/>
    <w:rsid w:val="00705C17"/>
    <w:rsid w:val="0070601C"/>
    <w:rsid w:val="007068E7"/>
    <w:rsid w:val="00706C64"/>
    <w:rsid w:val="00710765"/>
    <w:rsid w:val="00710D11"/>
    <w:rsid w:val="007110C4"/>
    <w:rsid w:val="0071192D"/>
    <w:rsid w:val="00711DBA"/>
    <w:rsid w:val="00712095"/>
    <w:rsid w:val="00712335"/>
    <w:rsid w:val="00712752"/>
    <w:rsid w:val="00712897"/>
    <w:rsid w:val="00712ADB"/>
    <w:rsid w:val="00712F4C"/>
    <w:rsid w:val="0071337F"/>
    <w:rsid w:val="0071363F"/>
    <w:rsid w:val="00716B63"/>
    <w:rsid w:val="0071759B"/>
    <w:rsid w:val="007179DD"/>
    <w:rsid w:val="00717ADB"/>
    <w:rsid w:val="00720589"/>
    <w:rsid w:val="007208E1"/>
    <w:rsid w:val="00720CF6"/>
    <w:rsid w:val="00722EB5"/>
    <w:rsid w:val="00722FE6"/>
    <w:rsid w:val="00723E91"/>
    <w:rsid w:val="00725462"/>
    <w:rsid w:val="00725B7A"/>
    <w:rsid w:val="00725BA5"/>
    <w:rsid w:val="00726063"/>
    <w:rsid w:val="00726131"/>
    <w:rsid w:val="007261B1"/>
    <w:rsid w:val="00726A47"/>
    <w:rsid w:val="00727EA5"/>
    <w:rsid w:val="00733F78"/>
    <w:rsid w:val="00735554"/>
    <w:rsid w:val="00736C0B"/>
    <w:rsid w:val="00736EF6"/>
    <w:rsid w:val="00737047"/>
    <w:rsid w:val="00737417"/>
    <w:rsid w:val="007377DD"/>
    <w:rsid w:val="0074095C"/>
    <w:rsid w:val="00741570"/>
    <w:rsid w:val="00741AE2"/>
    <w:rsid w:val="00742702"/>
    <w:rsid w:val="007427A7"/>
    <w:rsid w:val="00742F0A"/>
    <w:rsid w:val="007432AD"/>
    <w:rsid w:val="00743465"/>
    <w:rsid w:val="00743599"/>
    <w:rsid w:val="00743704"/>
    <w:rsid w:val="00745D47"/>
    <w:rsid w:val="0075050D"/>
    <w:rsid w:val="0075070A"/>
    <w:rsid w:val="00750AF1"/>
    <w:rsid w:val="0075133B"/>
    <w:rsid w:val="007514CC"/>
    <w:rsid w:val="00752DBD"/>
    <w:rsid w:val="00753101"/>
    <w:rsid w:val="00755F4C"/>
    <w:rsid w:val="00760132"/>
    <w:rsid w:val="00760A50"/>
    <w:rsid w:val="0076334A"/>
    <w:rsid w:val="0076351E"/>
    <w:rsid w:val="00763558"/>
    <w:rsid w:val="00763743"/>
    <w:rsid w:val="0076380D"/>
    <w:rsid w:val="007640A2"/>
    <w:rsid w:val="00764123"/>
    <w:rsid w:val="00764189"/>
    <w:rsid w:val="00765310"/>
    <w:rsid w:val="007679E7"/>
    <w:rsid w:val="00767D0A"/>
    <w:rsid w:val="00770BEA"/>
    <w:rsid w:val="00772C48"/>
    <w:rsid w:val="00772CBC"/>
    <w:rsid w:val="007737F4"/>
    <w:rsid w:val="00773E24"/>
    <w:rsid w:val="0077426F"/>
    <w:rsid w:val="00774EAC"/>
    <w:rsid w:val="00774FB5"/>
    <w:rsid w:val="0077536F"/>
    <w:rsid w:val="00775DAC"/>
    <w:rsid w:val="00775DF4"/>
    <w:rsid w:val="00777778"/>
    <w:rsid w:val="00777CD3"/>
    <w:rsid w:val="00777D57"/>
    <w:rsid w:val="00777D6E"/>
    <w:rsid w:val="00781315"/>
    <w:rsid w:val="007815B2"/>
    <w:rsid w:val="00782928"/>
    <w:rsid w:val="00782E50"/>
    <w:rsid w:val="0078389C"/>
    <w:rsid w:val="007843F0"/>
    <w:rsid w:val="007845D2"/>
    <w:rsid w:val="0078468D"/>
    <w:rsid w:val="0078502A"/>
    <w:rsid w:val="007857D2"/>
    <w:rsid w:val="0078699E"/>
    <w:rsid w:val="00786DA9"/>
    <w:rsid w:val="007872A2"/>
    <w:rsid w:val="007879E3"/>
    <w:rsid w:val="00787F03"/>
    <w:rsid w:val="007904B1"/>
    <w:rsid w:val="00790B79"/>
    <w:rsid w:val="00791370"/>
    <w:rsid w:val="007923AB"/>
    <w:rsid w:val="00792612"/>
    <w:rsid w:val="00792B14"/>
    <w:rsid w:val="00792D34"/>
    <w:rsid w:val="00793938"/>
    <w:rsid w:val="00793D2C"/>
    <w:rsid w:val="007941FB"/>
    <w:rsid w:val="00794204"/>
    <w:rsid w:val="007943FA"/>
    <w:rsid w:val="00795E5F"/>
    <w:rsid w:val="00796220"/>
    <w:rsid w:val="0079640D"/>
    <w:rsid w:val="0079772D"/>
    <w:rsid w:val="007A0F56"/>
    <w:rsid w:val="007A17C0"/>
    <w:rsid w:val="007A2166"/>
    <w:rsid w:val="007A2260"/>
    <w:rsid w:val="007A260F"/>
    <w:rsid w:val="007A3169"/>
    <w:rsid w:val="007A31BD"/>
    <w:rsid w:val="007A37D3"/>
    <w:rsid w:val="007A3A29"/>
    <w:rsid w:val="007A457A"/>
    <w:rsid w:val="007A5B2A"/>
    <w:rsid w:val="007A5F4E"/>
    <w:rsid w:val="007A7431"/>
    <w:rsid w:val="007A7C79"/>
    <w:rsid w:val="007B036F"/>
    <w:rsid w:val="007B075A"/>
    <w:rsid w:val="007B1B61"/>
    <w:rsid w:val="007B1D3B"/>
    <w:rsid w:val="007B217C"/>
    <w:rsid w:val="007B2B84"/>
    <w:rsid w:val="007B2BEC"/>
    <w:rsid w:val="007B48DF"/>
    <w:rsid w:val="007B56FE"/>
    <w:rsid w:val="007B5847"/>
    <w:rsid w:val="007B677F"/>
    <w:rsid w:val="007B7645"/>
    <w:rsid w:val="007C09A9"/>
    <w:rsid w:val="007C09D0"/>
    <w:rsid w:val="007C0A7D"/>
    <w:rsid w:val="007C0BF8"/>
    <w:rsid w:val="007C0D11"/>
    <w:rsid w:val="007C17DD"/>
    <w:rsid w:val="007C1CD2"/>
    <w:rsid w:val="007C2000"/>
    <w:rsid w:val="007C2E1E"/>
    <w:rsid w:val="007C4371"/>
    <w:rsid w:val="007C4578"/>
    <w:rsid w:val="007C4720"/>
    <w:rsid w:val="007C4C56"/>
    <w:rsid w:val="007C6078"/>
    <w:rsid w:val="007C73A1"/>
    <w:rsid w:val="007C742D"/>
    <w:rsid w:val="007C7F45"/>
    <w:rsid w:val="007D0424"/>
    <w:rsid w:val="007D1451"/>
    <w:rsid w:val="007D1FF4"/>
    <w:rsid w:val="007D2FE9"/>
    <w:rsid w:val="007D4CA7"/>
    <w:rsid w:val="007D4E58"/>
    <w:rsid w:val="007D5D6C"/>
    <w:rsid w:val="007D62FA"/>
    <w:rsid w:val="007D7751"/>
    <w:rsid w:val="007D79DC"/>
    <w:rsid w:val="007D7B40"/>
    <w:rsid w:val="007E1BE2"/>
    <w:rsid w:val="007E22C3"/>
    <w:rsid w:val="007E3BA3"/>
    <w:rsid w:val="007E462C"/>
    <w:rsid w:val="007E48C1"/>
    <w:rsid w:val="007E4F56"/>
    <w:rsid w:val="007E51F5"/>
    <w:rsid w:val="007E5576"/>
    <w:rsid w:val="007E58A6"/>
    <w:rsid w:val="007E5A83"/>
    <w:rsid w:val="007E6312"/>
    <w:rsid w:val="007F0987"/>
    <w:rsid w:val="007F1763"/>
    <w:rsid w:val="007F332A"/>
    <w:rsid w:val="007F45D1"/>
    <w:rsid w:val="007F52EB"/>
    <w:rsid w:val="007F622B"/>
    <w:rsid w:val="007F6318"/>
    <w:rsid w:val="007F63E8"/>
    <w:rsid w:val="007F6CB6"/>
    <w:rsid w:val="008006F5"/>
    <w:rsid w:val="00800FA4"/>
    <w:rsid w:val="00801028"/>
    <w:rsid w:val="00801692"/>
    <w:rsid w:val="008024DB"/>
    <w:rsid w:val="00802C0D"/>
    <w:rsid w:val="00802C92"/>
    <w:rsid w:val="00802DBB"/>
    <w:rsid w:val="00803E07"/>
    <w:rsid w:val="00805526"/>
    <w:rsid w:val="0080592F"/>
    <w:rsid w:val="0080624B"/>
    <w:rsid w:val="0080674B"/>
    <w:rsid w:val="00806B63"/>
    <w:rsid w:val="008076B4"/>
    <w:rsid w:val="008077F8"/>
    <w:rsid w:val="008078BF"/>
    <w:rsid w:val="00807DAF"/>
    <w:rsid w:val="008101ED"/>
    <w:rsid w:val="0081035A"/>
    <w:rsid w:val="008108B9"/>
    <w:rsid w:val="008109C1"/>
    <w:rsid w:val="00810C9F"/>
    <w:rsid w:val="00812044"/>
    <w:rsid w:val="00813483"/>
    <w:rsid w:val="00814759"/>
    <w:rsid w:val="00814FD1"/>
    <w:rsid w:val="00815056"/>
    <w:rsid w:val="00815BD8"/>
    <w:rsid w:val="00815CBC"/>
    <w:rsid w:val="00817D73"/>
    <w:rsid w:val="00821CDD"/>
    <w:rsid w:val="0082246B"/>
    <w:rsid w:val="008227F8"/>
    <w:rsid w:val="00822EF8"/>
    <w:rsid w:val="008239BB"/>
    <w:rsid w:val="00823BC7"/>
    <w:rsid w:val="00824471"/>
    <w:rsid w:val="00824491"/>
    <w:rsid w:val="00825A19"/>
    <w:rsid w:val="00826F51"/>
    <w:rsid w:val="00830E9A"/>
    <w:rsid w:val="00832ACF"/>
    <w:rsid w:val="008336A2"/>
    <w:rsid w:val="00833964"/>
    <w:rsid w:val="00833F09"/>
    <w:rsid w:val="00834701"/>
    <w:rsid w:val="00834FCB"/>
    <w:rsid w:val="00836248"/>
    <w:rsid w:val="00842FEC"/>
    <w:rsid w:val="00844680"/>
    <w:rsid w:val="008446E4"/>
    <w:rsid w:val="0084479D"/>
    <w:rsid w:val="00844848"/>
    <w:rsid w:val="00845CAC"/>
    <w:rsid w:val="00846024"/>
    <w:rsid w:val="00846908"/>
    <w:rsid w:val="0084701E"/>
    <w:rsid w:val="008503BC"/>
    <w:rsid w:val="008509D4"/>
    <w:rsid w:val="00851DDA"/>
    <w:rsid w:val="00852DE6"/>
    <w:rsid w:val="0085300F"/>
    <w:rsid w:val="008531F9"/>
    <w:rsid w:val="00853981"/>
    <w:rsid w:val="00853E40"/>
    <w:rsid w:val="00854640"/>
    <w:rsid w:val="00855943"/>
    <w:rsid w:val="00856712"/>
    <w:rsid w:val="00856DC2"/>
    <w:rsid w:val="00857150"/>
    <w:rsid w:val="008574B9"/>
    <w:rsid w:val="00857C2C"/>
    <w:rsid w:val="008619B1"/>
    <w:rsid w:val="00861CED"/>
    <w:rsid w:val="00862D68"/>
    <w:rsid w:val="008632B3"/>
    <w:rsid w:val="00863C06"/>
    <w:rsid w:val="0086420D"/>
    <w:rsid w:val="00866B19"/>
    <w:rsid w:val="008676BE"/>
    <w:rsid w:val="0086780C"/>
    <w:rsid w:val="00870FE4"/>
    <w:rsid w:val="008720CC"/>
    <w:rsid w:val="00872E67"/>
    <w:rsid w:val="00873071"/>
    <w:rsid w:val="0087316C"/>
    <w:rsid w:val="008735C7"/>
    <w:rsid w:val="008740A0"/>
    <w:rsid w:val="00874903"/>
    <w:rsid w:val="00874E6D"/>
    <w:rsid w:val="00875E63"/>
    <w:rsid w:val="0087633A"/>
    <w:rsid w:val="00876E0B"/>
    <w:rsid w:val="0088120A"/>
    <w:rsid w:val="00881642"/>
    <w:rsid w:val="0088168E"/>
    <w:rsid w:val="00881ABE"/>
    <w:rsid w:val="00881C75"/>
    <w:rsid w:val="00884EFA"/>
    <w:rsid w:val="00885EC5"/>
    <w:rsid w:val="00886214"/>
    <w:rsid w:val="0088661F"/>
    <w:rsid w:val="00886A0C"/>
    <w:rsid w:val="008879D2"/>
    <w:rsid w:val="008901F2"/>
    <w:rsid w:val="00890798"/>
    <w:rsid w:val="008914A1"/>
    <w:rsid w:val="00892D87"/>
    <w:rsid w:val="008944AE"/>
    <w:rsid w:val="00894779"/>
    <w:rsid w:val="00895100"/>
    <w:rsid w:val="008954B6"/>
    <w:rsid w:val="008954FE"/>
    <w:rsid w:val="0089575C"/>
    <w:rsid w:val="008958B1"/>
    <w:rsid w:val="00895BBA"/>
    <w:rsid w:val="00895E2D"/>
    <w:rsid w:val="00896A00"/>
    <w:rsid w:val="00896ECA"/>
    <w:rsid w:val="00897D82"/>
    <w:rsid w:val="008A134D"/>
    <w:rsid w:val="008A2023"/>
    <w:rsid w:val="008A2158"/>
    <w:rsid w:val="008A2B2C"/>
    <w:rsid w:val="008A3609"/>
    <w:rsid w:val="008A3857"/>
    <w:rsid w:val="008A3903"/>
    <w:rsid w:val="008A39DE"/>
    <w:rsid w:val="008A499E"/>
    <w:rsid w:val="008A4D2D"/>
    <w:rsid w:val="008A5CD8"/>
    <w:rsid w:val="008A62F6"/>
    <w:rsid w:val="008A6DC0"/>
    <w:rsid w:val="008A6F06"/>
    <w:rsid w:val="008A7A99"/>
    <w:rsid w:val="008B029E"/>
    <w:rsid w:val="008B0D33"/>
    <w:rsid w:val="008B12C7"/>
    <w:rsid w:val="008B1EA7"/>
    <w:rsid w:val="008B3646"/>
    <w:rsid w:val="008B46E7"/>
    <w:rsid w:val="008B4806"/>
    <w:rsid w:val="008B4939"/>
    <w:rsid w:val="008B4F07"/>
    <w:rsid w:val="008B69D1"/>
    <w:rsid w:val="008B793C"/>
    <w:rsid w:val="008B7D5A"/>
    <w:rsid w:val="008B7E9A"/>
    <w:rsid w:val="008C0076"/>
    <w:rsid w:val="008C00E4"/>
    <w:rsid w:val="008C12F5"/>
    <w:rsid w:val="008C1586"/>
    <w:rsid w:val="008C1C36"/>
    <w:rsid w:val="008C234A"/>
    <w:rsid w:val="008C2544"/>
    <w:rsid w:val="008C2E58"/>
    <w:rsid w:val="008C30AD"/>
    <w:rsid w:val="008C3978"/>
    <w:rsid w:val="008C39D8"/>
    <w:rsid w:val="008C3F49"/>
    <w:rsid w:val="008C40BA"/>
    <w:rsid w:val="008C50F8"/>
    <w:rsid w:val="008C5173"/>
    <w:rsid w:val="008C5797"/>
    <w:rsid w:val="008C646B"/>
    <w:rsid w:val="008C69F5"/>
    <w:rsid w:val="008C7021"/>
    <w:rsid w:val="008D0534"/>
    <w:rsid w:val="008D0C9A"/>
    <w:rsid w:val="008D1F59"/>
    <w:rsid w:val="008D21D9"/>
    <w:rsid w:val="008D29C8"/>
    <w:rsid w:val="008D3120"/>
    <w:rsid w:val="008D452A"/>
    <w:rsid w:val="008D4C88"/>
    <w:rsid w:val="008D553A"/>
    <w:rsid w:val="008D6060"/>
    <w:rsid w:val="008D71C9"/>
    <w:rsid w:val="008D79B5"/>
    <w:rsid w:val="008E109B"/>
    <w:rsid w:val="008E1496"/>
    <w:rsid w:val="008E179D"/>
    <w:rsid w:val="008E2371"/>
    <w:rsid w:val="008E267D"/>
    <w:rsid w:val="008E274E"/>
    <w:rsid w:val="008E27C2"/>
    <w:rsid w:val="008E2A27"/>
    <w:rsid w:val="008E31B9"/>
    <w:rsid w:val="008E36EE"/>
    <w:rsid w:val="008E3CA3"/>
    <w:rsid w:val="008E4091"/>
    <w:rsid w:val="008E4FA0"/>
    <w:rsid w:val="008E6AB3"/>
    <w:rsid w:val="008E7757"/>
    <w:rsid w:val="008F021C"/>
    <w:rsid w:val="008F1ED2"/>
    <w:rsid w:val="008F200E"/>
    <w:rsid w:val="008F2FF0"/>
    <w:rsid w:val="008F32AC"/>
    <w:rsid w:val="008F3758"/>
    <w:rsid w:val="008F3F5F"/>
    <w:rsid w:val="008F4DC6"/>
    <w:rsid w:val="008F4EF4"/>
    <w:rsid w:val="008F5CEB"/>
    <w:rsid w:val="008F6323"/>
    <w:rsid w:val="008F66A1"/>
    <w:rsid w:val="008F73E0"/>
    <w:rsid w:val="008F7AAD"/>
    <w:rsid w:val="009001C1"/>
    <w:rsid w:val="00902B04"/>
    <w:rsid w:val="0090348E"/>
    <w:rsid w:val="0090351E"/>
    <w:rsid w:val="00904B8C"/>
    <w:rsid w:val="00904EBD"/>
    <w:rsid w:val="00905C1C"/>
    <w:rsid w:val="00905D8F"/>
    <w:rsid w:val="0090673B"/>
    <w:rsid w:val="009114A9"/>
    <w:rsid w:val="009133A3"/>
    <w:rsid w:val="0091382B"/>
    <w:rsid w:val="00914130"/>
    <w:rsid w:val="009141A7"/>
    <w:rsid w:val="009143F9"/>
    <w:rsid w:val="00914462"/>
    <w:rsid w:val="0091552F"/>
    <w:rsid w:val="00916F38"/>
    <w:rsid w:val="009171EE"/>
    <w:rsid w:val="009174F0"/>
    <w:rsid w:val="00920123"/>
    <w:rsid w:val="00920496"/>
    <w:rsid w:val="00920737"/>
    <w:rsid w:val="0092095E"/>
    <w:rsid w:val="00921263"/>
    <w:rsid w:val="0092178C"/>
    <w:rsid w:val="0092230C"/>
    <w:rsid w:val="00922C48"/>
    <w:rsid w:val="0092399A"/>
    <w:rsid w:val="00923D3B"/>
    <w:rsid w:val="0092725B"/>
    <w:rsid w:val="00930064"/>
    <w:rsid w:val="00931576"/>
    <w:rsid w:val="00931758"/>
    <w:rsid w:val="009323C9"/>
    <w:rsid w:val="00934768"/>
    <w:rsid w:val="009348D1"/>
    <w:rsid w:val="00934CBC"/>
    <w:rsid w:val="00940FBA"/>
    <w:rsid w:val="0094303F"/>
    <w:rsid w:val="00943C3B"/>
    <w:rsid w:val="00943D37"/>
    <w:rsid w:val="009444A8"/>
    <w:rsid w:val="00944DC9"/>
    <w:rsid w:val="00944F49"/>
    <w:rsid w:val="009456E4"/>
    <w:rsid w:val="009458E2"/>
    <w:rsid w:val="009458E6"/>
    <w:rsid w:val="00946471"/>
    <w:rsid w:val="00946650"/>
    <w:rsid w:val="00946B25"/>
    <w:rsid w:val="00946D61"/>
    <w:rsid w:val="00946E9A"/>
    <w:rsid w:val="009475EF"/>
    <w:rsid w:val="00947DE9"/>
    <w:rsid w:val="00947FC9"/>
    <w:rsid w:val="009505B1"/>
    <w:rsid w:val="0095069E"/>
    <w:rsid w:val="0095088F"/>
    <w:rsid w:val="00950EFB"/>
    <w:rsid w:val="00951BF6"/>
    <w:rsid w:val="0095253F"/>
    <w:rsid w:val="00952FBF"/>
    <w:rsid w:val="009531D0"/>
    <w:rsid w:val="009545B5"/>
    <w:rsid w:val="00960082"/>
    <w:rsid w:val="00960119"/>
    <w:rsid w:val="009603E0"/>
    <w:rsid w:val="00962588"/>
    <w:rsid w:val="00962F90"/>
    <w:rsid w:val="00963709"/>
    <w:rsid w:val="00964FB0"/>
    <w:rsid w:val="009653D4"/>
    <w:rsid w:val="009658EB"/>
    <w:rsid w:val="00965F97"/>
    <w:rsid w:val="00966628"/>
    <w:rsid w:val="00966EF8"/>
    <w:rsid w:val="0096737D"/>
    <w:rsid w:val="00967492"/>
    <w:rsid w:val="00967B1E"/>
    <w:rsid w:val="00967B34"/>
    <w:rsid w:val="00967C3D"/>
    <w:rsid w:val="0097226D"/>
    <w:rsid w:val="00972857"/>
    <w:rsid w:val="00976871"/>
    <w:rsid w:val="00976E42"/>
    <w:rsid w:val="0097715A"/>
    <w:rsid w:val="00977B15"/>
    <w:rsid w:val="00980028"/>
    <w:rsid w:val="0098030A"/>
    <w:rsid w:val="00980339"/>
    <w:rsid w:val="00980971"/>
    <w:rsid w:val="009828C9"/>
    <w:rsid w:val="00983DD5"/>
    <w:rsid w:val="00984153"/>
    <w:rsid w:val="00984331"/>
    <w:rsid w:val="00984DBF"/>
    <w:rsid w:val="0098514F"/>
    <w:rsid w:val="00986C39"/>
    <w:rsid w:val="009901E5"/>
    <w:rsid w:val="00990A37"/>
    <w:rsid w:val="00990BD8"/>
    <w:rsid w:val="00991C46"/>
    <w:rsid w:val="00991F51"/>
    <w:rsid w:val="009921D8"/>
    <w:rsid w:val="00993052"/>
    <w:rsid w:val="00994DF9"/>
    <w:rsid w:val="00994E6E"/>
    <w:rsid w:val="00995032"/>
    <w:rsid w:val="00995510"/>
    <w:rsid w:val="009961A2"/>
    <w:rsid w:val="00996EA5"/>
    <w:rsid w:val="00997B52"/>
    <w:rsid w:val="009A17B4"/>
    <w:rsid w:val="009A1832"/>
    <w:rsid w:val="009A2A2F"/>
    <w:rsid w:val="009A2CD9"/>
    <w:rsid w:val="009A3278"/>
    <w:rsid w:val="009A3AC8"/>
    <w:rsid w:val="009A51CA"/>
    <w:rsid w:val="009A595B"/>
    <w:rsid w:val="009A5D7B"/>
    <w:rsid w:val="009A70EB"/>
    <w:rsid w:val="009A7E42"/>
    <w:rsid w:val="009B076E"/>
    <w:rsid w:val="009B1FF4"/>
    <w:rsid w:val="009B208C"/>
    <w:rsid w:val="009B2625"/>
    <w:rsid w:val="009B27DD"/>
    <w:rsid w:val="009B3380"/>
    <w:rsid w:val="009B41E2"/>
    <w:rsid w:val="009B42E2"/>
    <w:rsid w:val="009B5592"/>
    <w:rsid w:val="009B6884"/>
    <w:rsid w:val="009B7203"/>
    <w:rsid w:val="009B74AB"/>
    <w:rsid w:val="009B7BB7"/>
    <w:rsid w:val="009C01C4"/>
    <w:rsid w:val="009C0922"/>
    <w:rsid w:val="009C0A1F"/>
    <w:rsid w:val="009C1C8B"/>
    <w:rsid w:val="009C3783"/>
    <w:rsid w:val="009C3DFC"/>
    <w:rsid w:val="009C494C"/>
    <w:rsid w:val="009C4B81"/>
    <w:rsid w:val="009C5780"/>
    <w:rsid w:val="009C6332"/>
    <w:rsid w:val="009C64DC"/>
    <w:rsid w:val="009C67A1"/>
    <w:rsid w:val="009C7178"/>
    <w:rsid w:val="009C7319"/>
    <w:rsid w:val="009C7388"/>
    <w:rsid w:val="009C76F9"/>
    <w:rsid w:val="009D0FE4"/>
    <w:rsid w:val="009D1003"/>
    <w:rsid w:val="009D1285"/>
    <w:rsid w:val="009D136D"/>
    <w:rsid w:val="009D141D"/>
    <w:rsid w:val="009D29CA"/>
    <w:rsid w:val="009D2B3B"/>
    <w:rsid w:val="009D302C"/>
    <w:rsid w:val="009D3054"/>
    <w:rsid w:val="009D3154"/>
    <w:rsid w:val="009D31FF"/>
    <w:rsid w:val="009D4055"/>
    <w:rsid w:val="009D40E7"/>
    <w:rsid w:val="009D46D5"/>
    <w:rsid w:val="009D7456"/>
    <w:rsid w:val="009D7AC9"/>
    <w:rsid w:val="009E132E"/>
    <w:rsid w:val="009E15DE"/>
    <w:rsid w:val="009E29CE"/>
    <w:rsid w:val="009E3A82"/>
    <w:rsid w:val="009E4085"/>
    <w:rsid w:val="009E4601"/>
    <w:rsid w:val="009E4C6A"/>
    <w:rsid w:val="009E567A"/>
    <w:rsid w:val="009E61C8"/>
    <w:rsid w:val="009E6254"/>
    <w:rsid w:val="009E675C"/>
    <w:rsid w:val="009F0344"/>
    <w:rsid w:val="009F04E7"/>
    <w:rsid w:val="009F103D"/>
    <w:rsid w:val="009F1A11"/>
    <w:rsid w:val="009F2619"/>
    <w:rsid w:val="009F2AC8"/>
    <w:rsid w:val="009F2AE3"/>
    <w:rsid w:val="009F3146"/>
    <w:rsid w:val="009F35EA"/>
    <w:rsid w:val="009F3870"/>
    <w:rsid w:val="009F3B53"/>
    <w:rsid w:val="009F4042"/>
    <w:rsid w:val="009F49DD"/>
    <w:rsid w:val="009F4D8D"/>
    <w:rsid w:val="009F4DBB"/>
    <w:rsid w:val="009F51E2"/>
    <w:rsid w:val="009F542D"/>
    <w:rsid w:val="009F6102"/>
    <w:rsid w:val="00A007C8"/>
    <w:rsid w:val="00A00D57"/>
    <w:rsid w:val="00A016F9"/>
    <w:rsid w:val="00A02946"/>
    <w:rsid w:val="00A02A80"/>
    <w:rsid w:val="00A02D81"/>
    <w:rsid w:val="00A030A6"/>
    <w:rsid w:val="00A035FE"/>
    <w:rsid w:val="00A03824"/>
    <w:rsid w:val="00A03D2B"/>
    <w:rsid w:val="00A05EA3"/>
    <w:rsid w:val="00A074B0"/>
    <w:rsid w:val="00A07623"/>
    <w:rsid w:val="00A1027B"/>
    <w:rsid w:val="00A104B7"/>
    <w:rsid w:val="00A114B2"/>
    <w:rsid w:val="00A11755"/>
    <w:rsid w:val="00A121F5"/>
    <w:rsid w:val="00A12AC4"/>
    <w:rsid w:val="00A13D00"/>
    <w:rsid w:val="00A14EFD"/>
    <w:rsid w:val="00A155DA"/>
    <w:rsid w:val="00A17170"/>
    <w:rsid w:val="00A20C55"/>
    <w:rsid w:val="00A214A2"/>
    <w:rsid w:val="00A21739"/>
    <w:rsid w:val="00A21820"/>
    <w:rsid w:val="00A21A70"/>
    <w:rsid w:val="00A21FF7"/>
    <w:rsid w:val="00A2450D"/>
    <w:rsid w:val="00A24A6A"/>
    <w:rsid w:val="00A24CA7"/>
    <w:rsid w:val="00A24F0A"/>
    <w:rsid w:val="00A2792E"/>
    <w:rsid w:val="00A30C98"/>
    <w:rsid w:val="00A31B91"/>
    <w:rsid w:val="00A3294D"/>
    <w:rsid w:val="00A33874"/>
    <w:rsid w:val="00A33882"/>
    <w:rsid w:val="00A33F21"/>
    <w:rsid w:val="00A340EC"/>
    <w:rsid w:val="00A342DB"/>
    <w:rsid w:val="00A36B00"/>
    <w:rsid w:val="00A36BA3"/>
    <w:rsid w:val="00A37017"/>
    <w:rsid w:val="00A37048"/>
    <w:rsid w:val="00A417C2"/>
    <w:rsid w:val="00A41D2B"/>
    <w:rsid w:val="00A42639"/>
    <w:rsid w:val="00A42CC7"/>
    <w:rsid w:val="00A43200"/>
    <w:rsid w:val="00A4328B"/>
    <w:rsid w:val="00A43999"/>
    <w:rsid w:val="00A452A5"/>
    <w:rsid w:val="00A45351"/>
    <w:rsid w:val="00A463FB"/>
    <w:rsid w:val="00A46B14"/>
    <w:rsid w:val="00A47D04"/>
    <w:rsid w:val="00A50A63"/>
    <w:rsid w:val="00A51766"/>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2D54"/>
    <w:rsid w:val="00A62E0A"/>
    <w:rsid w:val="00A636FE"/>
    <w:rsid w:val="00A6376E"/>
    <w:rsid w:val="00A63ACF"/>
    <w:rsid w:val="00A6547C"/>
    <w:rsid w:val="00A6633E"/>
    <w:rsid w:val="00A66639"/>
    <w:rsid w:val="00A66A51"/>
    <w:rsid w:val="00A66ADE"/>
    <w:rsid w:val="00A66F6B"/>
    <w:rsid w:val="00A67944"/>
    <w:rsid w:val="00A67F62"/>
    <w:rsid w:val="00A703F1"/>
    <w:rsid w:val="00A70DA3"/>
    <w:rsid w:val="00A719E0"/>
    <w:rsid w:val="00A71CA5"/>
    <w:rsid w:val="00A73F08"/>
    <w:rsid w:val="00A748F2"/>
    <w:rsid w:val="00A75D61"/>
    <w:rsid w:val="00A762B5"/>
    <w:rsid w:val="00A77302"/>
    <w:rsid w:val="00A77B35"/>
    <w:rsid w:val="00A80223"/>
    <w:rsid w:val="00A80348"/>
    <w:rsid w:val="00A80390"/>
    <w:rsid w:val="00A805BC"/>
    <w:rsid w:val="00A8066A"/>
    <w:rsid w:val="00A8103B"/>
    <w:rsid w:val="00A81125"/>
    <w:rsid w:val="00A822CE"/>
    <w:rsid w:val="00A830CA"/>
    <w:rsid w:val="00A83A5A"/>
    <w:rsid w:val="00A83A9E"/>
    <w:rsid w:val="00A83B32"/>
    <w:rsid w:val="00A83B95"/>
    <w:rsid w:val="00A84207"/>
    <w:rsid w:val="00A8481C"/>
    <w:rsid w:val="00A848FC"/>
    <w:rsid w:val="00A84C23"/>
    <w:rsid w:val="00A856E5"/>
    <w:rsid w:val="00A8610D"/>
    <w:rsid w:val="00A8691A"/>
    <w:rsid w:val="00A90F1B"/>
    <w:rsid w:val="00A92625"/>
    <w:rsid w:val="00A92665"/>
    <w:rsid w:val="00A92D43"/>
    <w:rsid w:val="00A94C89"/>
    <w:rsid w:val="00A956A9"/>
    <w:rsid w:val="00A95D99"/>
    <w:rsid w:val="00A965B7"/>
    <w:rsid w:val="00A9727A"/>
    <w:rsid w:val="00AA02A5"/>
    <w:rsid w:val="00AA0B45"/>
    <w:rsid w:val="00AA1F17"/>
    <w:rsid w:val="00AA2065"/>
    <w:rsid w:val="00AA2177"/>
    <w:rsid w:val="00AA295A"/>
    <w:rsid w:val="00AA348E"/>
    <w:rsid w:val="00AA38DE"/>
    <w:rsid w:val="00AA424B"/>
    <w:rsid w:val="00AA4BE3"/>
    <w:rsid w:val="00AA4D6D"/>
    <w:rsid w:val="00AA4E23"/>
    <w:rsid w:val="00AA4FE0"/>
    <w:rsid w:val="00AA5E53"/>
    <w:rsid w:val="00AA6691"/>
    <w:rsid w:val="00AA6F1C"/>
    <w:rsid w:val="00AA6FAD"/>
    <w:rsid w:val="00AA7FFB"/>
    <w:rsid w:val="00AB02F3"/>
    <w:rsid w:val="00AB10F7"/>
    <w:rsid w:val="00AB1565"/>
    <w:rsid w:val="00AB17CC"/>
    <w:rsid w:val="00AB382E"/>
    <w:rsid w:val="00AB3BE8"/>
    <w:rsid w:val="00AB3F8A"/>
    <w:rsid w:val="00AB50EC"/>
    <w:rsid w:val="00AB5CDD"/>
    <w:rsid w:val="00AB6405"/>
    <w:rsid w:val="00AC0991"/>
    <w:rsid w:val="00AC1803"/>
    <w:rsid w:val="00AC3617"/>
    <w:rsid w:val="00AC3A77"/>
    <w:rsid w:val="00AC4154"/>
    <w:rsid w:val="00AC4C8E"/>
    <w:rsid w:val="00AC5AD8"/>
    <w:rsid w:val="00AD052F"/>
    <w:rsid w:val="00AD0FA0"/>
    <w:rsid w:val="00AD0FD9"/>
    <w:rsid w:val="00AD1491"/>
    <w:rsid w:val="00AD158A"/>
    <w:rsid w:val="00AD15CE"/>
    <w:rsid w:val="00AD1CBB"/>
    <w:rsid w:val="00AD1F15"/>
    <w:rsid w:val="00AD21DC"/>
    <w:rsid w:val="00AD295A"/>
    <w:rsid w:val="00AD2BDB"/>
    <w:rsid w:val="00AD3A96"/>
    <w:rsid w:val="00AD3EB3"/>
    <w:rsid w:val="00AD56C2"/>
    <w:rsid w:val="00AD5C5F"/>
    <w:rsid w:val="00AE04C4"/>
    <w:rsid w:val="00AE2299"/>
    <w:rsid w:val="00AE481D"/>
    <w:rsid w:val="00AE509A"/>
    <w:rsid w:val="00AF03C8"/>
    <w:rsid w:val="00AF2064"/>
    <w:rsid w:val="00AF24E8"/>
    <w:rsid w:val="00AF32BC"/>
    <w:rsid w:val="00AF40C6"/>
    <w:rsid w:val="00AF4484"/>
    <w:rsid w:val="00AF46DE"/>
    <w:rsid w:val="00AF4B76"/>
    <w:rsid w:val="00AF62CA"/>
    <w:rsid w:val="00AF66F2"/>
    <w:rsid w:val="00AF7147"/>
    <w:rsid w:val="00AF748D"/>
    <w:rsid w:val="00AF7691"/>
    <w:rsid w:val="00B00267"/>
    <w:rsid w:val="00B012FF"/>
    <w:rsid w:val="00B013D3"/>
    <w:rsid w:val="00B01659"/>
    <w:rsid w:val="00B03595"/>
    <w:rsid w:val="00B03779"/>
    <w:rsid w:val="00B03D76"/>
    <w:rsid w:val="00B05AA2"/>
    <w:rsid w:val="00B06CF4"/>
    <w:rsid w:val="00B07D87"/>
    <w:rsid w:val="00B10F3E"/>
    <w:rsid w:val="00B11211"/>
    <w:rsid w:val="00B114D9"/>
    <w:rsid w:val="00B12263"/>
    <w:rsid w:val="00B12D36"/>
    <w:rsid w:val="00B1362B"/>
    <w:rsid w:val="00B13A5A"/>
    <w:rsid w:val="00B15460"/>
    <w:rsid w:val="00B15DCF"/>
    <w:rsid w:val="00B1674B"/>
    <w:rsid w:val="00B16DF7"/>
    <w:rsid w:val="00B1744D"/>
    <w:rsid w:val="00B175EE"/>
    <w:rsid w:val="00B1766A"/>
    <w:rsid w:val="00B17D2F"/>
    <w:rsid w:val="00B20D69"/>
    <w:rsid w:val="00B20F03"/>
    <w:rsid w:val="00B21460"/>
    <w:rsid w:val="00B21510"/>
    <w:rsid w:val="00B21BD2"/>
    <w:rsid w:val="00B22299"/>
    <w:rsid w:val="00B22511"/>
    <w:rsid w:val="00B23654"/>
    <w:rsid w:val="00B24AC9"/>
    <w:rsid w:val="00B253C8"/>
    <w:rsid w:val="00B253E2"/>
    <w:rsid w:val="00B254EE"/>
    <w:rsid w:val="00B25CBF"/>
    <w:rsid w:val="00B265EC"/>
    <w:rsid w:val="00B27AB1"/>
    <w:rsid w:val="00B27E78"/>
    <w:rsid w:val="00B30D99"/>
    <w:rsid w:val="00B334AC"/>
    <w:rsid w:val="00B3380F"/>
    <w:rsid w:val="00B34A8F"/>
    <w:rsid w:val="00B3539E"/>
    <w:rsid w:val="00B37075"/>
    <w:rsid w:val="00B373D8"/>
    <w:rsid w:val="00B37A33"/>
    <w:rsid w:val="00B37DC8"/>
    <w:rsid w:val="00B37E6D"/>
    <w:rsid w:val="00B40DFF"/>
    <w:rsid w:val="00B4103F"/>
    <w:rsid w:val="00B41A93"/>
    <w:rsid w:val="00B41E18"/>
    <w:rsid w:val="00B432AE"/>
    <w:rsid w:val="00B44869"/>
    <w:rsid w:val="00B44EF3"/>
    <w:rsid w:val="00B45C50"/>
    <w:rsid w:val="00B470F6"/>
    <w:rsid w:val="00B47361"/>
    <w:rsid w:val="00B4756B"/>
    <w:rsid w:val="00B478A6"/>
    <w:rsid w:val="00B50652"/>
    <w:rsid w:val="00B5166D"/>
    <w:rsid w:val="00B516DD"/>
    <w:rsid w:val="00B51F43"/>
    <w:rsid w:val="00B51F9F"/>
    <w:rsid w:val="00B523E2"/>
    <w:rsid w:val="00B526B1"/>
    <w:rsid w:val="00B52AE6"/>
    <w:rsid w:val="00B52B59"/>
    <w:rsid w:val="00B53DEA"/>
    <w:rsid w:val="00B54C9C"/>
    <w:rsid w:val="00B5566D"/>
    <w:rsid w:val="00B56414"/>
    <w:rsid w:val="00B5657F"/>
    <w:rsid w:val="00B5683D"/>
    <w:rsid w:val="00B607BD"/>
    <w:rsid w:val="00B60FEF"/>
    <w:rsid w:val="00B612EC"/>
    <w:rsid w:val="00B644FC"/>
    <w:rsid w:val="00B654E1"/>
    <w:rsid w:val="00B66332"/>
    <w:rsid w:val="00B66B56"/>
    <w:rsid w:val="00B674A3"/>
    <w:rsid w:val="00B67806"/>
    <w:rsid w:val="00B67D3F"/>
    <w:rsid w:val="00B70CEA"/>
    <w:rsid w:val="00B713E2"/>
    <w:rsid w:val="00B71A00"/>
    <w:rsid w:val="00B71C4B"/>
    <w:rsid w:val="00B723AF"/>
    <w:rsid w:val="00B723B7"/>
    <w:rsid w:val="00B725EB"/>
    <w:rsid w:val="00B737C9"/>
    <w:rsid w:val="00B738FE"/>
    <w:rsid w:val="00B73985"/>
    <w:rsid w:val="00B73F3F"/>
    <w:rsid w:val="00B74662"/>
    <w:rsid w:val="00B74A28"/>
    <w:rsid w:val="00B75B73"/>
    <w:rsid w:val="00B75BA6"/>
    <w:rsid w:val="00B75EB7"/>
    <w:rsid w:val="00B761FC"/>
    <w:rsid w:val="00B765CB"/>
    <w:rsid w:val="00B7757B"/>
    <w:rsid w:val="00B7783F"/>
    <w:rsid w:val="00B77DBC"/>
    <w:rsid w:val="00B8045B"/>
    <w:rsid w:val="00B81081"/>
    <w:rsid w:val="00B826AB"/>
    <w:rsid w:val="00B82D84"/>
    <w:rsid w:val="00B82F94"/>
    <w:rsid w:val="00B834EF"/>
    <w:rsid w:val="00B83541"/>
    <w:rsid w:val="00B84A90"/>
    <w:rsid w:val="00B84FCC"/>
    <w:rsid w:val="00B85A17"/>
    <w:rsid w:val="00B863AB"/>
    <w:rsid w:val="00B9066E"/>
    <w:rsid w:val="00B9110E"/>
    <w:rsid w:val="00B9213E"/>
    <w:rsid w:val="00B924D8"/>
    <w:rsid w:val="00B9348E"/>
    <w:rsid w:val="00B957B9"/>
    <w:rsid w:val="00B965AB"/>
    <w:rsid w:val="00B96993"/>
    <w:rsid w:val="00B96B60"/>
    <w:rsid w:val="00B971F7"/>
    <w:rsid w:val="00B975FF"/>
    <w:rsid w:val="00B97671"/>
    <w:rsid w:val="00B97B95"/>
    <w:rsid w:val="00BA00F7"/>
    <w:rsid w:val="00BA0D02"/>
    <w:rsid w:val="00BA0FA5"/>
    <w:rsid w:val="00BA10D9"/>
    <w:rsid w:val="00BA1231"/>
    <w:rsid w:val="00BA1BA3"/>
    <w:rsid w:val="00BA2A04"/>
    <w:rsid w:val="00BA3418"/>
    <w:rsid w:val="00BA36EF"/>
    <w:rsid w:val="00BA60E5"/>
    <w:rsid w:val="00BA6979"/>
    <w:rsid w:val="00BA6E6B"/>
    <w:rsid w:val="00BA7002"/>
    <w:rsid w:val="00BB0B49"/>
    <w:rsid w:val="00BB1AE7"/>
    <w:rsid w:val="00BB34AC"/>
    <w:rsid w:val="00BB35F1"/>
    <w:rsid w:val="00BB36D2"/>
    <w:rsid w:val="00BB38C6"/>
    <w:rsid w:val="00BB4583"/>
    <w:rsid w:val="00BB4C10"/>
    <w:rsid w:val="00BB518F"/>
    <w:rsid w:val="00BB616F"/>
    <w:rsid w:val="00BB62BE"/>
    <w:rsid w:val="00BB65B9"/>
    <w:rsid w:val="00BB6613"/>
    <w:rsid w:val="00BB79A4"/>
    <w:rsid w:val="00BC02BC"/>
    <w:rsid w:val="00BC0D86"/>
    <w:rsid w:val="00BC1E70"/>
    <w:rsid w:val="00BC229B"/>
    <w:rsid w:val="00BC2456"/>
    <w:rsid w:val="00BC3067"/>
    <w:rsid w:val="00BC363D"/>
    <w:rsid w:val="00BC3DE3"/>
    <w:rsid w:val="00BC4203"/>
    <w:rsid w:val="00BC4288"/>
    <w:rsid w:val="00BC489D"/>
    <w:rsid w:val="00BC70CE"/>
    <w:rsid w:val="00BC7BB1"/>
    <w:rsid w:val="00BC7E3B"/>
    <w:rsid w:val="00BC7EE3"/>
    <w:rsid w:val="00BD0D0F"/>
    <w:rsid w:val="00BD1C99"/>
    <w:rsid w:val="00BD4B21"/>
    <w:rsid w:val="00BD53D5"/>
    <w:rsid w:val="00BD5692"/>
    <w:rsid w:val="00BD6D84"/>
    <w:rsid w:val="00BD6DB5"/>
    <w:rsid w:val="00BD6FF1"/>
    <w:rsid w:val="00BD71F8"/>
    <w:rsid w:val="00BD7A1D"/>
    <w:rsid w:val="00BD7F0D"/>
    <w:rsid w:val="00BE0250"/>
    <w:rsid w:val="00BE09D3"/>
    <w:rsid w:val="00BE20AD"/>
    <w:rsid w:val="00BE21CD"/>
    <w:rsid w:val="00BE2542"/>
    <w:rsid w:val="00BE2ABB"/>
    <w:rsid w:val="00BE2AD5"/>
    <w:rsid w:val="00BE4754"/>
    <w:rsid w:val="00BE543A"/>
    <w:rsid w:val="00BE582E"/>
    <w:rsid w:val="00BE62A9"/>
    <w:rsid w:val="00BE642C"/>
    <w:rsid w:val="00BE6CAC"/>
    <w:rsid w:val="00BE7108"/>
    <w:rsid w:val="00BF158E"/>
    <w:rsid w:val="00BF2F7E"/>
    <w:rsid w:val="00BF3553"/>
    <w:rsid w:val="00BF389A"/>
    <w:rsid w:val="00BF3A26"/>
    <w:rsid w:val="00BF43D8"/>
    <w:rsid w:val="00BF49D5"/>
    <w:rsid w:val="00BF7060"/>
    <w:rsid w:val="00BF7926"/>
    <w:rsid w:val="00BF79DB"/>
    <w:rsid w:val="00BF7E1C"/>
    <w:rsid w:val="00C0020C"/>
    <w:rsid w:val="00C0191B"/>
    <w:rsid w:val="00C023B5"/>
    <w:rsid w:val="00C02A2A"/>
    <w:rsid w:val="00C03269"/>
    <w:rsid w:val="00C03C7A"/>
    <w:rsid w:val="00C03F2B"/>
    <w:rsid w:val="00C0414D"/>
    <w:rsid w:val="00C0426E"/>
    <w:rsid w:val="00C045AD"/>
    <w:rsid w:val="00C04BF6"/>
    <w:rsid w:val="00C05DD5"/>
    <w:rsid w:val="00C067EC"/>
    <w:rsid w:val="00C06DC9"/>
    <w:rsid w:val="00C1046E"/>
    <w:rsid w:val="00C11AA8"/>
    <w:rsid w:val="00C12138"/>
    <w:rsid w:val="00C124E7"/>
    <w:rsid w:val="00C1263C"/>
    <w:rsid w:val="00C12830"/>
    <w:rsid w:val="00C12CDF"/>
    <w:rsid w:val="00C147AE"/>
    <w:rsid w:val="00C14F69"/>
    <w:rsid w:val="00C15D52"/>
    <w:rsid w:val="00C17499"/>
    <w:rsid w:val="00C175CE"/>
    <w:rsid w:val="00C17825"/>
    <w:rsid w:val="00C179C5"/>
    <w:rsid w:val="00C17DDD"/>
    <w:rsid w:val="00C20B41"/>
    <w:rsid w:val="00C218D1"/>
    <w:rsid w:val="00C2266B"/>
    <w:rsid w:val="00C228DC"/>
    <w:rsid w:val="00C22A58"/>
    <w:rsid w:val="00C237F0"/>
    <w:rsid w:val="00C25570"/>
    <w:rsid w:val="00C25630"/>
    <w:rsid w:val="00C25A25"/>
    <w:rsid w:val="00C27448"/>
    <w:rsid w:val="00C30364"/>
    <w:rsid w:val="00C3056A"/>
    <w:rsid w:val="00C31607"/>
    <w:rsid w:val="00C317C8"/>
    <w:rsid w:val="00C31C8F"/>
    <w:rsid w:val="00C34EA3"/>
    <w:rsid w:val="00C35AFB"/>
    <w:rsid w:val="00C36661"/>
    <w:rsid w:val="00C36A22"/>
    <w:rsid w:val="00C3780D"/>
    <w:rsid w:val="00C40B9B"/>
    <w:rsid w:val="00C4172B"/>
    <w:rsid w:val="00C4175C"/>
    <w:rsid w:val="00C41D2A"/>
    <w:rsid w:val="00C42AA5"/>
    <w:rsid w:val="00C43081"/>
    <w:rsid w:val="00C4333E"/>
    <w:rsid w:val="00C4575C"/>
    <w:rsid w:val="00C45D35"/>
    <w:rsid w:val="00C4604A"/>
    <w:rsid w:val="00C46C7D"/>
    <w:rsid w:val="00C47B5A"/>
    <w:rsid w:val="00C502B9"/>
    <w:rsid w:val="00C515AC"/>
    <w:rsid w:val="00C52D62"/>
    <w:rsid w:val="00C52EA8"/>
    <w:rsid w:val="00C53E5E"/>
    <w:rsid w:val="00C541D9"/>
    <w:rsid w:val="00C54735"/>
    <w:rsid w:val="00C5520A"/>
    <w:rsid w:val="00C554EF"/>
    <w:rsid w:val="00C5556D"/>
    <w:rsid w:val="00C55820"/>
    <w:rsid w:val="00C56426"/>
    <w:rsid w:val="00C56B03"/>
    <w:rsid w:val="00C56C96"/>
    <w:rsid w:val="00C60C7C"/>
    <w:rsid w:val="00C61B44"/>
    <w:rsid w:val="00C63438"/>
    <w:rsid w:val="00C63DBE"/>
    <w:rsid w:val="00C643F6"/>
    <w:rsid w:val="00C64EA0"/>
    <w:rsid w:val="00C657B4"/>
    <w:rsid w:val="00C657E4"/>
    <w:rsid w:val="00C65BDC"/>
    <w:rsid w:val="00C65C15"/>
    <w:rsid w:val="00C662CC"/>
    <w:rsid w:val="00C67175"/>
    <w:rsid w:val="00C67E04"/>
    <w:rsid w:val="00C70268"/>
    <w:rsid w:val="00C7032D"/>
    <w:rsid w:val="00C708FC"/>
    <w:rsid w:val="00C70AE8"/>
    <w:rsid w:val="00C70BDE"/>
    <w:rsid w:val="00C70D07"/>
    <w:rsid w:val="00C722DA"/>
    <w:rsid w:val="00C727EC"/>
    <w:rsid w:val="00C727F8"/>
    <w:rsid w:val="00C7546F"/>
    <w:rsid w:val="00C75A8E"/>
    <w:rsid w:val="00C76607"/>
    <w:rsid w:val="00C77634"/>
    <w:rsid w:val="00C776EE"/>
    <w:rsid w:val="00C8195B"/>
    <w:rsid w:val="00C82948"/>
    <w:rsid w:val="00C82E9C"/>
    <w:rsid w:val="00C83718"/>
    <w:rsid w:val="00C845B0"/>
    <w:rsid w:val="00C85211"/>
    <w:rsid w:val="00C85BF4"/>
    <w:rsid w:val="00C905C1"/>
    <w:rsid w:val="00C9081A"/>
    <w:rsid w:val="00C90D06"/>
    <w:rsid w:val="00C90F08"/>
    <w:rsid w:val="00C9266C"/>
    <w:rsid w:val="00C92A95"/>
    <w:rsid w:val="00C934B5"/>
    <w:rsid w:val="00C93603"/>
    <w:rsid w:val="00C93EE9"/>
    <w:rsid w:val="00C942EE"/>
    <w:rsid w:val="00C96A32"/>
    <w:rsid w:val="00C97A42"/>
    <w:rsid w:val="00CA157D"/>
    <w:rsid w:val="00CA1B42"/>
    <w:rsid w:val="00CA1D66"/>
    <w:rsid w:val="00CA2AA9"/>
    <w:rsid w:val="00CA2AB9"/>
    <w:rsid w:val="00CA310C"/>
    <w:rsid w:val="00CA3BEC"/>
    <w:rsid w:val="00CA45E4"/>
    <w:rsid w:val="00CA5162"/>
    <w:rsid w:val="00CA5801"/>
    <w:rsid w:val="00CA6D19"/>
    <w:rsid w:val="00CB0BF4"/>
    <w:rsid w:val="00CB13BC"/>
    <w:rsid w:val="00CB1D22"/>
    <w:rsid w:val="00CB1EB8"/>
    <w:rsid w:val="00CB360F"/>
    <w:rsid w:val="00CB3891"/>
    <w:rsid w:val="00CB450B"/>
    <w:rsid w:val="00CB5FB3"/>
    <w:rsid w:val="00CB6E77"/>
    <w:rsid w:val="00CC01AF"/>
    <w:rsid w:val="00CC03A5"/>
    <w:rsid w:val="00CC1BB3"/>
    <w:rsid w:val="00CC2113"/>
    <w:rsid w:val="00CC225C"/>
    <w:rsid w:val="00CC27F8"/>
    <w:rsid w:val="00CC33E4"/>
    <w:rsid w:val="00CC35AF"/>
    <w:rsid w:val="00CC38F3"/>
    <w:rsid w:val="00CC3FF9"/>
    <w:rsid w:val="00CC48F5"/>
    <w:rsid w:val="00CC4ACF"/>
    <w:rsid w:val="00CC4C08"/>
    <w:rsid w:val="00CC580C"/>
    <w:rsid w:val="00CC67B5"/>
    <w:rsid w:val="00CC694C"/>
    <w:rsid w:val="00CC6D85"/>
    <w:rsid w:val="00CC723C"/>
    <w:rsid w:val="00CD0490"/>
    <w:rsid w:val="00CD1512"/>
    <w:rsid w:val="00CD2371"/>
    <w:rsid w:val="00CD24A0"/>
    <w:rsid w:val="00CD29E6"/>
    <w:rsid w:val="00CD35FE"/>
    <w:rsid w:val="00CD36A3"/>
    <w:rsid w:val="00CD3821"/>
    <w:rsid w:val="00CD483F"/>
    <w:rsid w:val="00CD5CBA"/>
    <w:rsid w:val="00CD6230"/>
    <w:rsid w:val="00CD6B5C"/>
    <w:rsid w:val="00CE0309"/>
    <w:rsid w:val="00CE14D0"/>
    <w:rsid w:val="00CE18C9"/>
    <w:rsid w:val="00CE18FE"/>
    <w:rsid w:val="00CE2B0C"/>
    <w:rsid w:val="00CE2CA8"/>
    <w:rsid w:val="00CE313A"/>
    <w:rsid w:val="00CE4043"/>
    <w:rsid w:val="00CE6EFA"/>
    <w:rsid w:val="00CE781A"/>
    <w:rsid w:val="00CE7D94"/>
    <w:rsid w:val="00CF0434"/>
    <w:rsid w:val="00CF14A5"/>
    <w:rsid w:val="00CF327C"/>
    <w:rsid w:val="00CF3AC1"/>
    <w:rsid w:val="00CF3CC3"/>
    <w:rsid w:val="00CF5012"/>
    <w:rsid w:val="00CF53D6"/>
    <w:rsid w:val="00CF5740"/>
    <w:rsid w:val="00CF5919"/>
    <w:rsid w:val="00CF6359"/>
    <w:rsid w:val="00CF6410"/>
    <w:rsid w:val="00CF7BEF"/>
    <w:rsid w:val="00CF7F2F"/>
    <w:rsid w:val="00D0067B"/>
    <w:rsid w:val="00D00C30"/>
    <w:rsid w:val="00D0109C"/>
    <w:rsid w:val="00D023AF"/>
    <w:rsid w:val="00D0359B"/>
    <w:rsid w:val="00D03ADB"/>
    <w:rsid w:val="00D078E2"/>
    <w:rsid w:val="00D10207"/>
    <w:rsid w:val="00D11783"/>
    <w:rsid w:val="00D122E9"/>
    <w:rsid w:val="00D1274C"/>
    <w:rsid w:val="00D12F6C"/>
    <w:rsid w:val="00D1302A"/>
    <w:rsid w:val="00D134F4"/>
    <w:rsid w:val="00D14F8D"/>
    <w:rsid w:val="00D15DE5"/>
    <w:rsid w:val="00D16502"/>
    <w:rsid w:val="00D206B2"/>
    <w:rsid w:val="00D21515"/>
    <w:rsid w:val="00D220FF"/>
    <w:rsid w:val="00D23749"/>
    <w:rsid w:val="00D23C8D"/>
    <w:rsid w:val="00D24E93"/>
    <w:rsid w:val="00D24EEC"/>
    <w:rsid w:val="00D25127"/>
    <w:rsid w:val="00D253E6"/>
    <w:rsid w:val="00D26816"/>
    <w:rsid w:val="00D27180"/>
    <w:rsid w:val="00D27884"/>
    <w:rsid w:val="00D347C4"/>
    <w:rsid w:val="00D34B88"/>
    <w:rsid w:val="00D35017"/>
    <w:rsid w:val="00D3739A"/>
    <w:rsid w:val="00D37CE4"/>
    <w:rsid w:val="00D37FBD"/>
    <w:rsid w:val="00D4141F"/>
    <w:rsid w:val="00D41820"/>
    <w:rsid w:val="00D44190"/>
    <w:rsid w:val="00D450A8"/>
    <w:rsid w:val="00D45C0A"/>
    <w:rsid w:val="00D467E3"/>
    <w:rsid w:val="00D46FCB"/>
    <w:rsid w:val="00D50411"/>
    <w:rsid w:val="00D504FB"/>
    <w:rsid w:val="00D50A77"/>
    <w:rsid w:val="00D50C50"/>
    <w:rsid w:val="00D522A2"/>
    <w:rsid w:val="00D52530"/>
    <w:rsid w:val="00D53532"/>
    <w:rsid w:val="00D54450"/>
    <w:rsid w:val="00D556CC"/>
    <w:rsid w:val="00D55825"/>
    <w:rsid w:val="00D55A3E"/>
    <w:rsid w:val="00D55B71"/>
    <w:rsid w:val="00D570FA"/>
    <w:rsid w:val="00D57C7A"/>
    <w:rsid w:val="00D6011A"/>
    <w:rsid w:val="00D60160"/>
    <w:rsid w:val="00D60A5C"/>
    <w:rsid w:val="00D6169D"/>
    <w:rsid w:val="00D61733"/>
    <w:rsid w:val="00D620D1"/>
    <w:rsid w:val="00D62689"/>
    <w:rsid w:val="00D65DE9"/>
    <w:rsid w:val="00D65E10"/>
    <w:rsid w:val="00D66076"/>
    <w:rsid w:val="00D66442"/>
    <w:rsid w:val="00D679CD"/>
    <w:rsid w:val="00D67AFE"/>
    <w:rsid w:val="00D70735"/>
    <w:rsid w:val="00D71483"/>
    <w:rsid w:val="00D716C6"/>
    <w:rsid w:val="00D719F1"/>
    <w:rsid w:val="00D721E7"/>
    <w:rsid w:val="00D73631"/>
    <w:rsid w:val="00D73A72"/>
    <w:rsid w:val="00D751A1"/>
    <w:rsid w:val="00D7610D"/>
    <w:rsid w:val="00D76864"/>
    <w:rsid w:val="00D76C33"/>
    <w:rsid w:val="00D803E4"/>
    <w:rsid w:val="00D803F9"/>
    <w:rsid w:val="00D80885"/>
    <w:rsid w:val="00D813CA"/>
    <w:rsid w:val="00D81987"/>
    <w:rsid w:val="00D81A69"/>
    <w:rsid w:val="00D81DAC"/>
    <w:rsid w:val="00D82629"/>
    <w:rsid w:val="00D830C7"/>
    <w:rsid w:val="00D8316F"/>
    <w:rsid w:val="00D83677"/>
    <w:rsid w:val="00D83AF7"/>
    <w:rsid w:val="00D84294"/>
    <w:rsid w:val="00D84C87"/>
    <w:rsid w:val="00D860CD"/>
    <w:rsid w:val="00D86126"/>
    <w:rsid w:val="00D87006"/>
    <w:rsid w:val="00D873E9"/>
    <w:rsid w:val="00D9013C"/>
    <w:rsid w:val="00D912E0"/>
    <w:rsid w:val="00D91C05"/>
    <w:rsid w:val="00D92410"/>
    <w:rsid w:val="00D930D1"/>
    <w:rsid w:val="00D930D4"/>
    <w:rsid w:val="00D94180"/>
    <w:rsid w:val="00D94448"/>
    <w:rsid w:val="00D959F0"/>
    <w:rsid w:val="00D963F3"/>
    <w:rsid w:val="00D9678A"/>
    <w:rsid w:val="00D9700E"/>
    <w:rsid w:val="00D97BE7"/>
    <w:rsid w:val="00DA045B"/>
    <w:rsid w:val="00DA0F6C"/>
    <w:rsid w:val="00DA1157"/>
    <w:rsid w:val="00DA1E9D"/>
    <w:rsid w:val="00DA1F45"/>
    <w:rsid w:val="00DA2E58"/>
    <w:rsid w:val="00DA4373"/>
    <w:rsid w:val="00DA4621"/>
    <w:rsid w:val="00DA4FB4"/>
    <w:rsid w:val="00DA5A09"/>
    <w:rsid w:val="00DA618E"/>
    <w:rsid w:val="00DA673A"/>
    <w:rsid w:val="00DA6EB5"/>
    <w:rsid w:val="00DA7BF3"/>
    <w:rsid w:val="00DB06F5"/>
    <w:rsid w:val="00DB0B48"/>
    <w:rsid w:val="00DB111A"/>
    <w:rsid w:val="00DB1E35"/>
    <w:rsid w:val="00DB227A"/>
    <w:rsid w:val="00DB4235"/>
    <w:rsid w:val="00DB5286"/>
    <w:rsid w:val="00DB53B7"/>
    <w:rsid w:val="00DB5567"/>
    <w:rsid w:val="00DB57AE"/>
    <w:rsid w:val="00DB6F5A"/>
    <w:rsid w:val="00DB7294"/>
    <w:rsid w:val="00DB7632"/>
    <w:rsid w:val="00DB770C"/>
    <w:rsid w:val="00DC085D"/>
    <w:rsid w:val="00DC0E3A"/>
    <w:rsid w:val="00DC12B7"/>
    <w:rsid w:val="00DC12C9"/>
    <w:rsid w:val="00DC1769"/>
    <w:rsid w:val="00DC1934"/>
    <w:rsid w:val="00DC1BF7"/>
    <w:rsid w:val="00DC1C7C"/>
    <w:rsid w:val="00DC1FFA"/>
    <w:rsid w:val="00DC35C6"/>
    <w:rsid w:val="00DC45A8"/>
    <w:rsid w:val="00DC4CD8"/>
    <w:rsid w:val="00DC5123"/>
    <w:rsid w:val="00DC6078"/>
    <w:rsid w:val="00DC6401"/>
    <w:rsid w:val="00DC7E98"/>
    <w:rsid w:val="00DD0A8B"/>
    <w:rsid w:val="00DD13A0"/>
    <w:rsid w:val="00DD1784"/>
    <w:rsid w:val="00DD2A88"/>
    <w:rsid w:val="00DD30F5"/>
    <w:rsid w:val="00DD35D6"/>
    <w:rsid w:val="00DD3874"/>
    <w:rsid w:val="00DD3D2E"/>
    <w:rsid w:val="00DD4265"/>
    <w:rsid w:val="00DD4C47"/>
    <w:rsid w:val="00DD56CF"/>
    <w:rsid w:val="00DD5D23"/>
    <w:rsid w:val="00DD5FD0"/>
    <w:rsid w:val="00DD6055"/>
    <w:rsid w:val="00DD6F2E"/>
    <w:rsid w:val="00DD7107"/>
    <w:rsid w:val="00DE0614"/>
    <w:rsid w:val="00DE0A15"/>
    <w:rsid w:val="00DE1CC1"/>
    <w:rsid w:val="00DE283A"/>
    <w:rsid w:val="00DE2DC7"/>
    <w:rsid w:val="00DE2FF9"/>
    <w:rsid w:val="00DE4FCB"/>
    <w:rsid w:val="00DE52E6"/>
    <w:rsid w:val="00DE5CB4"/>
    <w:rsid w:val="00DE6222"/>
    <w:rsid w:val="00DE6435"/>
    <w:rsid w:val="00DE7018"/>
    <w:rsid w:val="00DF0428"/>
    <w:rsid w:val="00DF0522"/>
    <w:rsid w:val="00DF127A"/>
    <w:rsid w:val="00DF1CBB"/>
    <w:rsid w:val="00DF225D"/>
    <w:rsid w:val="00DF3402"/>
    <w:rsid w:val="00DF428A"/>
    <w:rsid w:val="00DF5D9C"/>
    <w:rsid w:val="00DF6F65"/>
    <w:rsid w:val="00DF7723"/>
    <w:rsid w:val="00DF7B16"/>
    <w:rsid w:val="00E01A50"/>
    <w:rsid w:val="00E01B37"/>
    <w:rsid w:val="00E01FB1"/>
    <w:rsid w:val="00E02295"/>
    <w:rsid w:val="00E026C6"/>
    <w:rsid w:val="00E029DA"/>
    <w:rsid w:val="00E02A1D"/>
    <w:rsid w:val="00E02E03"/>
    <w:rsid w:val="00E03590"/>
    <w:rsid w:val="00E03CFA"/>
    <w:rsid w:val="00E03FD4"/>
    <w:rsid w:val="00E04242"/>
    <w:rsid w:val="00E043C6"/>
    <w:rsid w:val="00E04B98"/>
    <w:rsid w:val="00E04DA8"/>
    <w:rsid w:val="00E04F85"/>
    <w:rsid w:val="00E05F6A"/>
    <w:rsid w:val="00E0630D"/>
    <w:rsid w:val="00E063DE"/>
    <w:rsid w:val="00E0648D"/>
    <w:rsid w:val="00E06514"/>
    <w:rsid w:val="00E06C40"/>
    <w:rsid w:val="00E10633"/>
    <w:rsid w:val="00E10ED4"/>
    <w:rsid w:val="00E1171D"/>
    <w:rsid w:val="00E11A21"/>
    <w:rsid w:val="00E120C3"/>
    <w:rsid w:val="00E12C9E"/>
    <w:rsid w:val="00E12CD1"/>
    <w:rsid w:val="00E1397C"/>
    <w:rsid w:val="00E139C0"/>
    <w:rsid w:val="00E13AE5"/>
    <w:rsid w:val="00E14E03"/>
    <w:rsid w:val="00E14E59"/>
    <w:rsid w:val="00E16D0E"/>
    <w:rsid w:val="00E16F20"/>
    <w:rsid w:val="00E17C2A"/>
    <w:rsid w:val="00E17CAD"/>
    <w:rsid w:val="00E22287"/>
    <w:rsid w:val="00E22294"/>
    <w:rsid w:val="00E23583"/>
    <w:rsid w:val="00E2372C"/>
    <w:rsid w:val="00E2380E"/>
    <w:rsid w:val="00E23CCC"/>
    <w:rsid w:val="00E23D83"/>
    <w:rsid w:val="00E249FE"/>
    <w:rsid w:val="00E25913"/>
    <w:rsid w:val="00E2599B"/>
    <w:rsid w:val="00E261F6"/>
    <w:rsid w:val="00E266A3"/>
    <w:rsid w:val="00E27344"/>
    <w:rsid w:val="00E302BC"/>
    <w:rsid w:val="00E30384"/>
    <w:rsid w:val="00E30CC4"/>
    <w:rsid w:val="00E3173F"/>
    <w:rsid w:val="00E31BF9"/>
    <w:rsid w:val="00E31D7E"/>
    <w:rsid w:val="00E32226"/>
    <w:rsid w:val="00E3316F"/>
    <w:rsid w:val="00E33C5B"/>
    <w:rsid w:val="00E34E9C"/>
    <w:rsid w:val="00E359F9"/>
    <w:rsid w:val="00E373B3"/>
    <w:rsid w:val="00E40DB3"/>
    <w:rsid w:val="00E4100A"/>
    <w:rsid w:val="00E41674"/>
    <w:rsid w:val="00E41B7F"/>
    <w:rsid w:val="00E422E1"/>
    <w:rsid w:val="00E43789"/>
    <w:rsid w:val="00E447D8"/>
    <w:rsid w:val="00E44A12"/>
    <w:rsid w:val="00E44CBA"/>
    <w:rsid w:val="00E44E30"/>
    <w:rsid w:val="00E468A3"/>
    <w:rsid w:val="00E46A1F"/>
    <w:rsid w:val="00E4773C"/>
    <w:rsid w:val="00E47803"/>
    <w:rsid w:val="00E50F04"/>
    <w:rsid w:val="00E51930"/>
    <w:rsid w:val="00E53D76"/>
    <w:rsid w:val="00E54900"/>
    <w:rsid w:val="00E5521C"/>
    <w:rsid w:val="00E555A4"/>
    <w:rsid w:val="00E56448"/>
    <w:rsid w:val="00E577EE"/>
    <w:rsid w:val="00E60092"/>
    <w:rsid w:val="00E605DC"/>
    <w:rsid w:val="00E60E18"/>
    <w:rsid w:val="00E61D38"/>
    <w:rsid w:val="00E62EFF"/>
    <w:rsid w:val="00E64637"/>
    <w:rsid w:val="00E64DD7"/>
    <w:rsid w:val="00E64E5A"/>
    <w:rsid w:val="00E651E3"/>
    <w:rsid w:val="00E659EB"/>
    <w:rsid w:val="00E65AC1"/>
    <w:rsid w:val="00E66223"/>
    <w:rsid w:val="00E66248"/>
    <w:rsid w:val="00E708CB"/>
    <w:rsid w:val="00E70A33"/>
    <w:rsid w:val="00E72707"/>
    <w:rsid w:val="00E73231"/>
    <w:rsid w:val="00E738A1"/>
    <w:rsid w:val="00E73F33"/>
    <w:rsid w:val="00E74441"/>
    <w:rsid w:val="00E76203"/>
    <w:rsid w:val="00E76DF7"/>
    <w:rsid w:val="00E77485"/>
    <w:rsid w:val="00E77BB0"/>
    <w:rsid w:val="00E80008"/>
    <w:rsid w:val="00E80599"/>
    <w:rsid w:val="00E80733"/>
    <w:rsid w:val="00E810CC"/>
    <w:rsid w:val="00E815CC"/>
    <w:rsid w:val="00E836D2"/>
    <w:rsid w:val="00E83D48"/>
    <w:rsid w:val="00E83DFF"/>
    <w:rsid w:val="00E8410F"/>
    <w:rsid w:val="00E84699"/>
    <w:rsid w:val="00E86372"/>
    <w:rsid w:val="00E86DDE"/>
    <w:rsid w:val="00E870D4"/>
    <w:rsid w:val="00E878DC"/>
    <w:rsid w:val="00E9025E"/>
    <w:rsid w:val="00E90307"/>
    <w:rsid w:val="00E9044A"/>
    <w:rsid w:val="00E90B2C"/>
    <w:rsid w:val="00E92AE2"/>
    <w:rsid w:val="00E92C72"/>
    <w:rsid w:val="00E92DB3"/>
    <w:rsid w:val="00E92E8A"/>
    <w:rsid w:val="00E939EC"/>
    <w:rsid w:val="00E93D44"/>
    <w:rsid w:val="00E94856"/>
    <w:rsid w:val="00E94978"/>
    <w:rsid w:val="00E949F6"/>
    <w:rsid w:val="00E94A3D"/>
    <w:rsid w:val="00E94F83"/>
    <w:rsid w:val="00E95084"/>
    <w:rsid w:val="00E9512B"/>
    <w:rsid w:val="00E95995"/>
    <w:rsid w:val="00E95C99"/>
    <w:rsid w:val="00E9669E"/>
    <w:rsid w:val="00E97D9E"/>
    <w:rsid w:val="00E97E2D"/>
    <w:rsid w:val="00EA0330"/>
    <w:rsid w:val="00EA0BC8"/>
    <w:rsid w:val="00EA18DA"/>
    <w:rsid w:val="00EA1EA3"/>
    <w:rsid w:val="00EA262B"/>
    <w:rsid w:val="00EA380E"/>
    <w:rsid w:val="00EA47C7"/>
    <w:rsid w:val="00EA4ACC"/>
    <w:rsid w:val="00EA5312"/>
    <w:rsid w:val="00EA5BDF"/>
    <w:rsid w:val="00EA7062"/>
    <w:rsid w:val="00EA7756"/>
    <w:rsid w:val="00EA7D79"/>
    <w:rsid w:val="00EB06DB"/>
    <w:rsid w:val="00EB09D0"/>
    <w:rsid w:val="00EB11B8"/>
    <w:rsid w:val="00EB1223"/>
    <w:rsid w:val="00EB1CB4"/>
    <w:rsid w:val="00EB26A0"/>
    <w:rsid w:val="00EB3645"/>
    <w:rsid w:val="00EB3943"/>
    <w:rsid w:val="00EB3DA4"/>
    <w:rsid w:val="00EB4FEB"/>
    <w:rsid w:val="00EB591D"/>
    <w:rsid w:val="00EB6A2D"/>
    <w:rsid w:val="00EB6F06"/>
    <w:rsid w:val="00EB6F7C"/>
    <w:rsid w:val="00EB709C"/>
    <w:rsid w:val="00EB7F5D"/>
    <w:rsid w:val="00EC0F6F"/>
    <w:rsid w:val="00EC0FFB"/>
    <w:rsid w:val="00EC18DE"/>
    <w:rsid w:val="00EC2089"/>
    <w:rsid w:val="00EC3DA2"/>
    <w:rsid w:val="00EC504C"/>
    <w:rsid w:val="00EC54BC"/>
    <w:rsid w:val="00EC57E1"/>
    <w:rsid w:val="00EC667A"/>
    <w:rsid w:val="00EC6E5E"/>
    <w:rsid w:val="00EC7468"/>
    <w:rsid w:val="00EC749E"/>
    <w:rsid w:val="00ED0176"/>
    <w:rsid w:val="00ED0F80"/>
    <w:rsid w:val="00ED0FDA"/>
    <w:rsid w:val="00ED1EE1"/>
    <w:rsid w:val="00ED22F6"/>
    <w:rsid w:val="00ED2366"/>
    <w:rsid w:val="00ED358E"/>
    <w:rsid w:val="00ED38E0"/>
    <w:rsid w:val="00ED3953"/>
    <w:rsid w:val="00ED3993"/>
    <w:rsid w:val="00ED545D"/>
    <w:rsid w:val="00ED54B0"/>
    <w:rsid w:val="00ED5802"/>
    <w:rsid w:val="00ED623A"/>
    <w:rsid w:val="00ED6AC5"/>
    <w:rsid w:val="00ED7CB2"/>
    <w:rsid w:val="00EE19F2"/>
    <w:rsid w:val="00EE2C5A"/>
    <w:rsid w:val="00EE4E75"/>
    <w:rsid w:val="00EE6BF6"/>
    <w:rsid w:val="00EE6FFA"/>
    <w:rsid w:val="00EE729B"/>
    <w:rsid w:val="00EE74B2"/>
    <w:rsid w:val="00EE75CB"/>
    <w:rsid w:val="00EE7732"/>
    <w:rsid w:val="00EE7F56"/>
    <w:rsid w:val="00EF0965"/>
    <w:rsid w:val="00EF0B44"/>
    <w:rsid w:val="00EF1735"/>
    <w:rsid w:val="00EF1DCD"/>
    <w:rsid w:val="00EF1F87"/>
    <w:rsid w:val="00EF21EE"/>
    <w:rsid w:val="00EF4176"/>
    <w:rsid w:val="00EF41DE"/>
    <w:rsid w:val="00EF483C"/>
    <w:rsid w:val="00EF5004"/>
    <w:rsid w:val="00EF5564"/>
    <w:rsid w:val="00EF6970"/>
    <w:rsid w:val="00EF6B8A"/>
    <w:rsid w:val="00F00047"/>
    <w:rsid w:val="00F00789"/>
    <w:rsid w:val="00F012FD"/>
    <w:rsid w:val="00F0203E"/>
    <w:rsid w:val="00F0330A"/>
    <w:rsid w:val="00F060ED"/>
    <w:rsid w:val="00F06309"/>
    <w:rsid w:val="00F06CAE"/>
    <w:rsid w:val="00F06CB4"/>
    <w:rsid w:val="00F07F24"/>
    <w:rsid w:val="00F10AB1"/>
    <w:rsid w:val="00F111CE"/>
    <w:rsid w:val="00F118D3"/>
    <w:rsid w:val="00F1192A"/>
    <w:rsid w:val="00F12EEA"/>
    <w:rsid w:val="00F14476"/>
    <w:rsid w:val="00F149E4"/>
    <w:rsid w:val="00F15864"/>
    <w:rsid w:val="00F1605F"/>
    <w:rsid w:val="00F171D6"/>
    <w:rsid w:val="00F17937"/>
    <w:rsid w:val="00F17BAD"/>
    <w:rsid w:val="00F17FDD"/>
    <w:rsid w:val="00F20A9C"/>
    <w:rsid w:val="00F21DAD"/>
    <w:rsid w:val="00F221B5"/>
    <w:rsid w:val="00F22F22"/>
    <w:rsid w:val="00F239DE"/>
    <w:rsid w:val="00F247ED"/>
    <w:rsid w:val="00F248A3"/>
    <w:rsid w:val="00F2526B"/>
    <w:rsid w:val="00F254E7"/>
    <w:rsid w:val="00F25BB5"/>
    <w:rsid w:val="00F25C5B"/>
    <w:rsid w:val="00F260EC"/>
    <w:rsid w:val="00F278A6"/>
    <w:rsid w:val="00F31C06"/>
    <w:rsid w:val="00F35EBC"/>
    <w:rsid w:val="00F36FBE"/>
    <w:rsid w:val="00F40FA9"/>
    <w:rsid w:val="00F4105E"/>
    <w:rsid w:val="00F428F4"/>
    <w:rsid w:val="00F42DD2"/>
    <w:rsid w:val="00F43773"/>
    <w:rsid w:val="00F441E8"/>
    <w:rsid w:val="00F44CC0"/>
    <w:rsid w:val="00F451F3"/>
    <w:rsid w:val="00F45651"/>
    <w:rsid w:val="00F46424"/>
    <w:rsid w:val="00F46D8F"/>
    <w:rsid w:val="00F47D23"/>
    <w:rsid w:val="00F502B8"/>
    <w:rsid w:val="00F50D42"/>
    <w:rsid w:val="00F51227"/>
    <w:rsid w:val="00F51BDC"/>
    <w:rsid w:val="00F51D5E"/>
    <w:rsid w:val="00F52A06"/>
    <w:rsid w:val="00F52B38"/>
    <w:rsid w:val="00F53E16"/>
    <w:rsid w:val="00F54DB1"/>
    <w:rsid w:val="00F5587C"/>
    <w:rsid w:val="00F56163"/>
    <w:rsid w:val="00F56223"/>
    <w:rsid w:val="00F572B4"/>
    <w:rsid w:val="00F60B50"/>
    <w:rsid w:val="00F61004"/>
    <w:rsid w:val="00F610FF"/>
    <w:rsid w:val="00F624A2"/>
    <w:rsid w:val="00F62B98"/>
    <w:rsid w:val="00F641A2"/>
    <w:rsid w:val="00F650C5"/>
    <w:rsid w:val="00F6572C"/>
    <w:rsid w:val="00F657C9"/>
    <w:rsid w:val="00F6599E"/>
    <w:rsid w:val="00F65B55"/>
    <w:rsid w:val="00F66B95"/>
    <w:rsid w:val="00F70248"/>
    <w:rsid w:val="00F704FB"/>
    <w:rsid w:val="00F7184D"/>
    <w:rsid w:val="00F720DE"/>
    <w:rsid w:val="00F72C55"/>
    <w:rsid w:val="00F72D70"/>
    <w:rsid w:val="00F72E51"/>
    <w:rsid w:val="00F73C3C"/>
    <w:rsid w:val="00F740B2"/>
    <w:rsid w:val="00F74F84"/>
    <w:rsid w:val="00F75029"/>
    <w:rsid w:val="00F75093"/>
    <w:rsid w:val="00F75284"/>
    <w:rsid w:val="00F77C36"/>
    <w:rsid w:val="00F77D44"/>
    <w:rsid w:val="00F811CD"/>
    <w:rsid w:val="00F815AC"/>
    <w:rsid w:val="00F81C9A"/>
    <w:rsid w:val="00F82B3B"/>
    <w:rsid w:val="00F83225"/>
    <w:rsid w:val="00F83B6D"/>
    <w:rsid w:val="00F84938"/>
    <w:rsid w:val="00F84F2D"/>
    <w:rsid w:val="00F85A89"/>
    <w:rsid w:val="00F85C92"/>
    <w:rsid w:val="00F86FD9"/>
    <w:rsid w:val="00F90A41"/>
    <w:rsid w:val="00F9102B"/>
    <w:rsid w:val="00F91FAA"/>
    <w:rsid w:val="00F925A3"/>
    <w:rsid w:val="00F9288E"/>
    <w:rsid w:val="00F93110"/>
    <w:rsid w:val="00F93423"/>
    <w:rsid w:val="00F9346C"/>
    <w:rsid w:val="00F94D60"/>
    <w:rsid w:val="00F95172"/>
    <w:rsid w:val="00F95BDE"/>
    <w:rsid w:val="00F96162"/>
    <w:rsid w:val="00F965DD"/>
    <w:rsid w:val="00F968E1"/>
    <w:rsid w:val="00FA0760"/>
    <w:rsid w:val="00FA1338"/>
    <w:rsid w:val="00FA1739"/>
    <w:rsid w:val="00FA1E9A"/>
    <w:rsid w:val="00FA2043"/>
    <w:rsid w:val="00FA2479"/>
    <w:rsid w:val="00FA26FD"/>
    <w:rsid w:val="00FA2C5C"/>
    <w:rsid w:val="00FA4A80"/>
    <w:rsid w:val="00FA65F9"/>
    <w:rsid w:val="00FA761F"/>
    <w:rsid w:val="00FA7B03"/>
    <w:rsid w:val="00FA7B41"/>
    <w:rsid w:val="00FB0E93"/>
    <w:rsid w:val="00FB1245"/>
    <w:rsid w:val="00FB130D"/>
    <w:rsid w:val="00FB2666"/>
    <w:rsid w:val="00FB2A8E"/>
    <w:rsid w:val="00FB39B2"/>
    <w:rsid w:val="00FB3E12"/>
    <w:rsid w:val="00FB448C"/>
    <w:rsid w:val="00FB4DBF"/>
    <w:rsid w:val="00FB5B6A"/>
    <w:rsid w:val="00FC01CD"/>
    <w:rsid w:val="00FC0BEF"/>
    <w:rsid w:val="00FC15C2"/>
    <w:rsid w:val="00FC1960"/>
    <w:rsid w:val="00FC1DF8"/>
    <w:rsid w:val="00FC1E70"/>
    <w:rsid w:val="00FC2345"/>
    <w:rsid w:val="00FC4EAA"/>
    <w:rsid w:val="00FC7813"/>
    <w:rsid w:val="00FD1807"/>
    <w:rsid w:val="00FD1922"/>
    <w:rsid w:val="00FD1957"/>
    <w:rsid w:val="00FD1A79"/>
    <w:rsid w:val="00FD39C8"/>
    <w:rsid w:val="00FD4845"/>
    <w:rsid w:val="00FD4C97"/>
    <w:rsid w:val="00FD5A29"/>
    <w:rsid w:val="00FD5C7E"/>
    <w:rsid w:val="00FD61E3"/>
    <w:rsid w:val="00FD7811"/>
    <w:rsid w:val="00FE00F9"/>
    <w:rsid w:val="00FE05D4"/>
    <w:rsid w:val="00FE1326"/>
    <w:rsid w:val="00FE1422"/>
    <w:rsid w:val="00FE2CA6"/>
    <w:rsid w:val="00FE2D4C"/>
    <w:rsid w:val="00FE31D4"/>
    <w:rsid w:val="00FE3AC1"/>
    <w:rsid w:val="00FE531C"/>
    <w:rsid w:val="00FE591D"/>
    <w:rsid w:val="00FE6094"/>
    <w:rsid w:val="00FE6728"/>
    <w:rsid w:val="00FE6B79"/>
    <w:rsid w:val="00FF0396"/>
    <w:rsid w:val="00FF0B81"/>
    <w:rsid w:val="00FF0D3C"/>
    <w:rsid w:val="00FF27B2"/>
    <w:rsid w:val="00FF2E7A"/>
    <w:rsid w:val="00FF4778"/>
    <w:rsid w:val="00FF4BB3"/>
    <w:rsid w:val="00FF5793"/>
    <w:rsid w:val="00FF5991"/>
    <w:rsid w:val="00FF5FA8"/>
    <w:rsid w:val="00FF631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83DDC"/>
  <w14:defaultImageDpi w14:val="0"/>
  <w15:docId w15:val="{641BBBF7-FBA4-407F-91D9-8AAF98FC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page number" w:uiPriority="99"/>
    <w:lsdException w:name="toa heading" w:uiPriority="99"/>
    <w:lsdException w:name="List Bullet" w:uiPriority="99"/>
    <w:lsdException w:name="List Bullet 5" w:uiPriority="99"/>
    <w:lsdException w:name="List Number 2" w:uiPriority="99"/>
    <w:lsdException w:name="Title" w:uiPriority="10"/>
    <w:lsdException w:name="Default Paragraph Font" w:uiPriority="1"/>
    <w:lsdException w:name="Body Text Indent" w:uiPriority="99"/>
    <w:lsdException w:name="Subtitle" w:uiPriority="11"/>
    <w:lsdException w:name="Hyperlink" w:uiPriority="99"/>
    <w:lsdException w:name="FollowedHyperlink" w:uiPriority="99"/>
    <w:lsdException w:name="Strong" w:uiPriority="22"/>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AF"/>
    <w:pPr>
      <w:spacing w:after="200"/>
      <w:jc w:val="both"/>
    </w:pPr>
    <w:rPr>
      <w:sz w:val="22"/>
      <w:lang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2"/>
      </w:numPr>
      <w:tabs>
        <w:tab w:val="clear" w:pos="360"/>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5"/>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1"/>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numPr>
        <w:ilvl w:val="2"/>
        <w:numId w:val="1"/>
      </w:num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1"/>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1"/>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1"/>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fr-FR" w:eastAsia="en-US"/>
    </w:rPr>
  </w:style>
  <w:style w:type="character" w:customStyle="1" w:styleId="Heading2Char">
    <w:name w:val="Heading 2 Char"/>
    <w:basedOn w:val="DefaultParagraphFont"/>
    <w:link w:val="Heading2"/>
    <w:uiPriority w:val="9"/>
    <w:locked/>
    <w:rPr>
      <w:rFonts w:cs="Times New Roman"/>
      <w:b/>
      <w:sz w:val="22"/>
      <w:lang w:val="x-none" w:eastAsia="en-US"/>
    </w:rPr>
  </w:style>
  <w:style w:type="character" w:customStyle="1" w:styleId="Heading3Char">
    <w:name w:val="Heading 3 Char"/>
    <w:basedOn w:val="DefaultParagraphFont"/>
    <w:link w:val="Heading3"/>
    <w:uiPriority w:val="9"/>
    <w:locked/>
    <w:rPr>
      <w:rFonts w:cs="Times New Roman"/>
      <w:b/>
      <w:sz w:val="22"/>
      <w:lang w:val="x-none" w:eastAsia="en-US"/>
    </w:rPr>
  </w:style>
  <w:style w:type="character" w:customStyle="1" w:styleId="Heading4Char">
    <w:name w:val="Heading 4 Char"/>
    <w:basedOn w:val="DefaultParagraphFont"/>
    <w:link w:val="Heading4"/>
    <w:uiPriority w:val="9"/>
    <w:locked/>
    <w:rsid w:val="008109C1"/>
    <w:rPr>
      <w:rFonts w:cs="Times New Roman"/>
      <w:sz w:val="24"/>
      <w:lang w:val="fr-FR" w:eastAsia="en-US"/>
    </w:rPr>
  </w:style>
  <w:style w:type="character" w:customStyle="1" w:styleId="Heading5Char">
    <w:name w:val="Heading 5 Char"/>
    <w:basedOn w:val="DefaultParagraphFont"/>
    <w:link w:val="Heading5"/>
    <w:uiPriority w:val="9"/>
    <w:locked/>
    <w:rPr>
      <w:rFonts w:ascii="Arial" w:hAnsi="Arial" w:cs="Times New Roman"/>
      <w:sz w:val="22"/>
      <w:lang w:val="x-none" w:eastAsia="en-US"/>
    </w:rPr>
  </w:style>
  <w:style w:type="character" w:customStyle="1" w:styleId="Heading6Char">
    <w:name w:val="Heading 6 Char"/>
    <w:basedOn w:val="DefaultParagraphFont"/>
    <w:link w:val="Heading6"/>
    <w:uiPriority w:val="9"/>
    <w:locked/>
    <w:rPr>
      <w:rFonts w:ascii="Arial" w:hAnsi="Arial" w:cs="Times New Roman"/>
      <w:i/>
      <w:sz w:val="22"/>
      <w:lang w:val="x-none" w:eastAsia="en-US"/>
    </w:rPr>
  </w:style>
  <w:style w:type="character" w:customStyle="1" w:styleId="Heading7Char">
    <w:name w:val="Heading 7 Char"/>
    <w:basedOn w:val="DefaultParagraphFont"/>
    <w:link w:val="Heading7"/>
    <w:uiPriority w:val="9"/>
    <w:locked/>
    <w:rPr>
      <w:rFonts w:ascii="Arial" w:hAnsi="Arial" w:cs="Times New Roman"/>
      <w:lang w:val="x-none" w:eastAsia="en-US"/>
    </w:rPr>
  </w:style>
  <w:style w:type="character" w:customStyle="1" w:styleId="Heading8Char">
    <w:name w:val="Heading 8 Char"/>
    <w:basedOn w:val="DefaultParagraphFont"/>
    <w:link w:val="Heading8"/>
    <w:uiPriority w:val="9"/>
    <w:locked/>
    <w:rPr>
      <w:rFonts w:ascii="Arial" w:hAnsi="Arial" w:cs="Times New Roman"/>
      <w:i/>
      <w:lang w:val="x-none" w:eastAsia="en-US"/>
    </w:rPr>
  </w:style>
  <w:style w:type="character" w:customStyle="1" w:styleId="Heading9Char">
    <w:name w:val="Heading 9 Char"/>
    <w:basedOn w:val="DefaultParagraphFont"/>
    <w:link w:val="Heading9"/>
    <w:uiPriority w:val="9"/>
    <w:locked/>
    <w:rPr>
      <w:rFonts w:ascii="Arial" w:hAnsi="Arial" w:cs="Times New Roman"/>
      <w:i/>
      <w:sz w:val="18"/>
      <w:lang w:val="x-none"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tabs>
        <w:tab w:val="num" w:pos="0"/>
        <w:tab w:val="num" w:pos="1492"/>
        <w:tab w:val="right" w:pos="8789"/>
      </w:tabs>
      <w:suppressAutoHyphens/>
      <w:ind w:left="360" w:hanging="360"/>
    </w:pPr>
    <w:rPr>
      <w:rFonts w:ascii="Arial" w:hAnsi="Arial"/>
      <w:b/>
      <w:spacing w:val="-2"/>
    </w:rPr>
  </w:style>
  <w:style w:type="paragraph" w:customStyle="1" w:styleId="Application4">
    <w:name w:val="Application4"/>
    <w:basedOn w:val="Application3"/>
    <w:autoRedefine/>
    <w:pPr>
      <w:tabs>
        <w:tab w:val="clear" w:pos="0"/>
      </w:tabs>
      <w:ind w:left="567" w:firstLine="0"/>
    </w:pPr>
    <w:rPr>
      <w:sz w:val="20"/>
    </w:rPr>
  </w:style>
  <w:style w:type="paragraph" w:customStyle="1" w:styleId="Application5">
    <w:name w:val="Application5"/>
    <w:basedOn w:val="Application2"/>
    <w:autoRedefine/>
    <w:p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sid w:val="00856DC2"/>
    <w:rPr>
      <w:rFonts w:cs="Times New Roman"/>
      <w:b/>
      <w:sz w:val="48"/>
      <w:lang w:val="fr-FR"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76DF7"/>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E76DF7"/>
    <w:pPr>
      <w:widowControl w:val="0"/>
      <w:numPr>
        <w:numId w:val="17"/>
      </w:numPr>
      <w:spacing w:after="360"/>
    </w:pPr>
    <w:rPr>
      <w:rFonts w:ascii="Times New Roman Bold" w:hAnsi="Times New Roman Bold"/>
      <w:b/>
      <w:caps/>
    </w:rPr>
  </w:style>
  <w:style w:type="paragraph" w:customStyle="1" w:styleId="Guidelines2">
    <w:name w:val="Guidelines 2"/>
    <w:basedOn w:val="Normal"/>
    <w:next w:val="Normal"/>
    <w:autoRedefine/>
    <w:qFormat/>
    <w:rsid w:val="004741A1"/>
    <w:pPr>
      <w:tabs>
        <w:tab w:val="num" w:pos="283"/>
        <w:tab w:val="num" w:pos="567"/>
      </w:tabs>
      <w:spacing w:before="240" w:after="120"/>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BF7926"/>
    <w:pPr>
      <w:keepNext/>
      <w:numPr>
        <w:ilvl w:val="2"/>
        <w:numId w:val="17"/>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475BDA"/>
    <w:pPr>
      <w:spacing w:after="60"/>
    </w:pPr>
    <w:rPr>
      <w:sz w:val="20"/>
    </w:rPr>
  </w:style>
  <w:style w:type="character" w:customStyle="1" w:styleId="FootnoteTextChar">
    <w:name w:val="Footnote Text Char"/>
    <w:basedOn w:val="DefaultParagraphFont"/>
    <w:link w:val="FootnoteText"/>
    <w:uiPriority w:val="99"/>
    <w:locked/>
    <w:rsid w:val="00475BDA"/>
    <w:rPr>
      <w:lang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fr-FR"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locked/>
    <w:rsid w:val="00856DC2"/>
    <w:rPr>
      <w:rFonts w:ascii="Arial" w:hAnsi="Arial" w:cs="Times New Roman"/>
      <w:sz w:val="16"/>
      <w:lang w:val="fr-FR" w:eastAsia="en-US"/>
    </w:rPr>
  </w:style>
  <w:style w:type="paragraph" w:customStyle="1" w:styleId="Style0">
    <w:name w:val="Style0"/>
    <w:rPr>
      <w:rFonts w:ascii="Arial" w:hAnsi="Arial"/>
      <w:sz w:val="24"/>
      <w:lang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fr-FR" w:eastAsia="en-US"/>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283" w:hanging="283"/>
      <w:outlineLvl w:val="9"/>
    </w:pPr>
    <w:rPr>
      <w:b w:val="0"/>
    </w:rPr>
  </w:style>
  <w:style w:type="paragraph" w:styleId="ListBullet5">
    <w:name w:val="List Bullet 5"/>
    <w:basedOn w:val="Normal"/>
    <w:autoRedefine/>
    <w:uiPriority w:val="99"/>
    <w:pPr>
      <w:tabs>
        <w:tab w:val="num" w:pos="360"/>
      </w:tabs>
      <w:spacing w:after="240"/>
      <w:ind w:left="360" w:hanging="360"/>
    </w:pPr>
  </w:style>
  <w:style w:type="paragraph" w:styleId="ListBullet">
    <w:name w:val="List Bullet"/>
    <w:basedOn w:val="Normal"/>
    <w:link w:val="ListBulletChar"/>
    <w:uiPriority w:val="99"/>
    <w:rsid w:val="00684AFF"/>
    <w:pPr>
      <w:tabs>
        <w:tab w:val="num" w:pos="567"/>
      </w:tabs>
      <w:spacing w:after="240"/>
      <w:ind w:left="567" w:hanging="283"/>
    </w:pPr>
    <w:rPr>
      <w:lang w:eastAsia="en-GB"/>
    </w:rPr>
  </w:style>
  <w:style w:type="character" w:customStyle="1" w:styleId="ListBulletChar">
    <w:name w:val="List Bullet Char"/>
    <w:link w:val="ListBullet"/>
    <w:uiPriority w:val="99"/>
    <w:locked/>
    <w:rsid w:val="00CF6359"/>
    <w:rPr>
      <w:sz w:val="22"/>
      <w:lang w:val="fr-FR"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39"/>
    <w:rsid w:val="008619B1"/>
    <w:pPr>
      <w:jc w:val="both"/>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rPr>
  </w:style>
  <w:style w:type="character" w:customStyle="1" w:styleId="SubtitleChar">
    <w:name w:val="Subtitle Char"/>
    <w:basedOn w:val="DefaultParagraphFont"/>
    <w:link w:val="Subtitle"/>
    <w:uiPriority w:val="11"/>
    <w:locked/>
    <w:rsid w:val="00EE4E75"/>
    <w:rPr>
      <w:rFonts w:ascii="Arial" w:hAnsi="Arial" w:cs="Times New Roman"/>
      <w:b/>
      <w:sz w:val="28"/>
      <w:lang w:val="fr-FR"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fr-FR"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bCs/>
      <w:lang w:val="fr-FR"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tabs>
        <w:tab w:val="clear" w:pos="2161"/>
        <w:tab w:val="num" w:pos="0"/>
        <w:tab w:val="num" w:pos="1485"/>
        <w:tab w:val="num" w:pos="1911"/>
      </w:tabs>
      <w:ind w:left="1911" w:hanging="709"/>
    </w:pPr>
  </w:style>
  <w:style w:type="paragraph" w:customStyle="1" w:styleId="ListNumber2Level2">
    <w:name w:val="List Number 2 (Level 2)"/>
    <w:basedOn w:val="Text2"/>
    <w:rsid w:val="0022128C"/>
    <w:pPr>
      <w:numPr>
        <w:ilvl w:val="1"/>
        <w:numId w:val="3"/>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3"/>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6"/>
      </w:numPr>
      <w:tabs>
        <w:tab w:val="clear" w:pos="2161"/>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aliases w:val="sous titre 2,Puce 1,liste à puces,liste fiche,Report Para,Number Bullets,List Paragraph1,List Paragraph niveau 1,Puces,lp1,lp11,List Paragraph11,Table Number Paragraph,Bullet List,FooterText,numbered,Bulletr List Paragraph,Bullets,r2,Tit"/>
    <w:basedOn w:val="Normal"/>
    <w:link w:val="ListParagraphChar"/>
    <w:uiPriority w:val="34"/>
    <w:qFormat/>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fr-FR" w:eastAsia="en-US"/>
    </w:rPr>
  </w:style>
  <w:style w:type="character" w:styleId="CommentReference">
    <w:name w:val="annotation reference"/>
    <w:basedOn w:val="DefaultParagraphFont"/>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customStyle="1" w:styleId="Default">
    <w:name w:val="Default"/>
    <w:rsid w:val="00EE4E75"/>
    <w:pPr>
      <w:autoSpaceDE w:val="0"/>
      <w:autoSpaceDN w:val="0"/>
      <w:adjustRightInd w:val="0"/>
    </w:pPr>
    <w:rPr>
      <w:color w:val="000000"/>
      <w:sz w:val="24"/>
      <w:szCs w:val="24"/>
      <w:lang w:eastAsia="en-GB"/>
    </w:rPr>
  </w:style>
  <w:style w:type="paragraph" w:styleId="Caption">
    <w:name w:val="caption"/>
    <w:basedOn w:val="Normal"/>
    <w:next w:val="Normal"/>
    <w:uiPriority w:val="35"/>
    <w:unhideWhenUsed/>
    <w:qFormat/>
    <w:rsid w:val="00A6547C"/>
    <w:rPr>
      <w:b/>
      <w:bCs/>
      <w:sz w:val="20"/>
    </w:rPr>
  </w:style>
  <w:style w:type="character" w:customStyle="1" w:styleId="ListParagraphChar">
    <w:name w:val="List Paragraph Char"/>
    <w:aliases w:val="sous titre 2 Char,Puce 1 Char,liste à puces Char,liste fiche Char,Report Para Char,Number Bullets Char,List Paragraph1 Char,List Paragraph niveau 1 Char,Puces Char,lp1 Char,lp11 Char,List Paragraph11 Char,Table Number Paragraph Char"/>
    <w:link w:val="ListParagraph"/>
    <w:uiPriority w:val="34"/>
    <w:qFormat/>
    <w:locked/>
    <w:rsid w:val="00CC2113"/>
    <w:rPr>
      <w:sz w:val="22"/>
      <w:lang w:val="x-none" w:eastAsia="en-US"/>
    </w:rPr>
  </w:style>
  <w:style w:type="character" w:customStyle="1" w:styleId="oj-super">
    <w:name w:val="oj-super"/>
    <w:rsid w:val="00CC2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5038">
      <w:bodyDiv w:val="1"/>
      <w:marLeft w:val="0"/>
      <w:marRight w:val="0"/>
      <w:marTop w:val="0"/>
      <w:marBottom w:val="0"/>
      <w:divBdr>
        <w:top w:val="none" w:sz="0" w:space="0" w:color="auto"/>
        <w:left w:val="none" w:sz="0" w:space="0" w:color="auto"/>
        <w:bottom w:val="none" w:sz="0" w:space="0" w:color="auto"/>
        <w:right w:val="none" w:sz="0" w:space="0" w:color="auto"/>
      </w:divBdr>
    </w:div>
    <w:div w:id="1002586684">
      <w:bodyDiv w:val="1"/>
      <w:marLeft w:val="0"/>
      <w:marRight w:val="0"/>
      <w:marTop w:val="0"/>
      <w:marBottom w:val="0"/>
      <w:divBdr>
        <w:top w:val="none" w:sz="0" w:space="0" w:color="auto"/>
        <w:left w:val="none" w:sz="0" w:space="0" w:color="auto"/>
        <w:bottom w:val="none" w:sz="0" w:space="0" w:color="auto"/>
        <w:right w:val="none" w:sz="0" w:space="0" w:color="auto"/>
      </w:divBdr>
    </w:div>
    <w:div w:id="1085343859">
      <w:marLeft w:val="0"/>
      <w:marRight w:val="0"/>
      <w:marTop w:val="0"/>
      <w:marBottom w:val="0"/>
      <w:divBdr>
        <w:top w:val="none" w:sz="0" w:space="0" w:color="auto"/>
        <w:left w:val="none" w:sz="0" w:space="0" w:color="auto"/>
        <w:bottom w:val="none" w:sz="0" w:space="0" w:color="auto"/>
        <w:right w:val="none" w:sz="0" w:space="0" w:color="auto"/>
      </w:divBdr>
    </w:div>
    <w:div w:id="1085343860">
      <w:marLeft w:val="0"/>
      <w:marRight w:val="0"/>
      <w:marTop w:val="0"/>
      <w:marBottom w:val="0"/>
      <w:divBdr>
        <w:top w:val="none" w:sz="0" w:space="0" w:color="auto"/>
        <w:left w:val="none" w:sz="0" w:space="0" w:color="auto"/>
        <w:bottom w:val="none" w:sz="0" w:space="0" w:color="auto"/>
        <w:right w:val="none" w:sz="0" w:space="0" w:color="auto"/>
      </w:divBdr>
    </w:div>
    <w:div w:id="1085343861">
      <w:marLeft w:val="0"/>
      <w:marRight w:val="0"/>
      <w:marTop w:val="0"/>
      <w:marBottom w:val="0"/>
      <w:divBdr>
        <w:top w:val="none" w:sz="0" w:space="0" w:color="auto"/>
        <w:left w:val="none" w:sz="0" w:space="0" w:color="auto"/>
        <w:bottom w:val="none" w:sz="0" w:space="0" w:color="auto"/>
        <w:right w:val="none" w:sz="0" w:space="0" w:color="auto"/>
      </w:divBdr>
    </w:div>
    <w:div w:id="1085343862">
      <w:marLeft w:val="0"/>
      <w:marRight w:val="0"/>
      <w:marTop w:val="0"/>
      <w:marBottom w:val="0"/>
      <w:divBdr>
        <w:top w:val="none" w:sz="0" w:space="0" w:color="auto"/>
        <w:left w:val="none" w:sz="0" w:space="0" w:color="auto"/>
        <w:bottom w:val="none" w:sz="0" w:space="0" w:color="auto"/>
        <w:right w:val="none" w:sz="0" w:space="0" w:color="auto"/>
      </w:divBdr>
    </w:div>
    <w:div w:id="1085343863">
      <w:marLeft w:val="0"/>
      <w:marRight w:val="0"/>
      <w:marTop w:val="0"/>
      <w:marBottom w:val="0"/>
      <w:divBdr>
        <w:top w:val="none" w:sz="0" w:space="0" w:color="auto"/>
        <w:left w:val="none" w:sz="0" w:space="0" w:color="auto"/>
        <w:bottom w:val="none" w:sz="0" w:space="0" w:color="auto"/>
        <w:right w:val="none" w:sz="0" w:space="0" w:color="auto"/>
      </w:divBdr>
    </w:div>
    <w:div w:id="1085343864">
      <w:marLeft w:val="0"/>
      <w:marRight w:val="0"/>
      <w:marTop w:val="0"/>
      <w:marBottom w:val="0"/>
      <w:divBdr>
        <w:top w:val="none" w:sz="0" w:space="0" w:color="auto"/>
        <w:left w:val="none" w:sz="0" w:space="0" w:color="auto"/>
        <w:bottom w:val="none" w:sz="0" w:space="0" w:color="auto"/>
        <w:right w:val="none" w:sz="0" w:space="0" w:color="auto"/>
      </w:divBdr>
    </w:div>
    <w:div w:id="1085343865">
      <w:marLeft w:val="0"/>
      <w:marRight w:val="0"/>
      <w:marTop w:val="0"/>
      <w:marBottom w:val="0"/>
      <w:divBdr>
        <w:top w:val="none" w:sz="0" w:space="0" w:color="auto"/>
        <w:left w:val="none" w:sz="0" w:space="0" w:color="auto"/>
        <w:bottom w:val="none" w:sz="0" w:space="0" w:color="auto"/>
        <w:right w:val="none" w:sz="0" w:space="0" w:color="auto"/>
      </w:divBdr>
    </w:div>
    <w:div w:id="1085343866">
      <w:marLeft w:val="0"/>
      <w:marRight w:val="0"/>
      <w:marTop w:val="0"/>
      <w:marBottom w:val="0"/>
      <w:divBdr>
        <w:top w:val="none" w:sz="0" w:space="0" w:color="auto"/>
        <w:left w:val="none" w:sz="0" w:space="0" w:color="auto"/>
        <w:bottom w:val="none" w:sz="0" w:space="0" w:color="auto"/>
        <w:right w:val="none" w:sz="0" w:space="0" w:color="auto"/>
      </w:divBdr>
    </w:div>
    <w:div w:id="1085343867">
      <w:marLeft w:val="0"/>
      <w:marRight w:val="0"/>
      <w:marTop w:val="0"/>
      <w:marBottom w:val="0"/>
      <w:divBdr>
        <w:top w:val="none" w:sz="0" w:space="0" w:color="auto"/>
        <w:left w:val="none" w:sz="0" w:space="0" w:color="auto"/>
        <w:bottom w:val="none" w:sz="0" w:space="0" w:color="auto"/>
        <w:right w:val="none" w:sz="0" w:space="0" w:color="auto"/>
      </w:divBdr>
    </w:div>
    <w:div w:id="1085343868">
      <w:marLeft w:val="0"/>
      <w:marRight w:val="0"/>
      <w:marTop w:val="0"/>
      <w:marBottom w:val="0"/>
      <w:divBdr>
        <w:top w:val="none" w:sz="0" w:space="0" w:color="auto"/>
        <w:left w:val="none" w:sz="0" w:space="0" w:color="auto"/>
        <w:bottom w:val="none" w:sz="0" w:space="0" w:color="auto"/>
        <w:right w:val="none" w:sz="0" w:space="0" w:color="auto"/>
      </w:divBdr>
    </w:div>
    <w:div w:id="1085343869">
      <w:marLeft w:val="0"/>
      <w:marRight w:val="0"/>
      <w:marTop w:val="0"/>
      <w:marBottom w:val="0"/>
      <w:divBdr>
        <w:top w:val="none" w:sz="0" w:space="0" w:color="auto"/>
        <w:left w:val="none" w:sz="0" w:space="0" w:color="auto"/>
        <w:bottom w:val="none" w:sz="0" w:space="0" w:color="auto"/>
        <w:right w:val="none" w:sz="0" w:space="0" w:color="auto"/>
      </w:divBdr>
    </w:div>
    <w:div w:id="1085343870">
      <w:marLeft w:val="0"/>
      <w:marRight w:val="0"/>
      <w:marTop w:val="0"/>
      <w:marBottom w:val="0"/>
      <w:divBdr>
        <w:top w:val="none" w:sz="0" w:space="0" w:color="auto"/>
        <w:left w:val="none" w:sz="0" w:space="0" w:color="auto"/>
        <w:bottom w:val="none" w:sz="0" w:space="0" w:color="auto"/>
        <w:right w:val="none" w:sz="0" w:space="0" w:color="auto"/>
      </w:divBdr>
    </w:div>
    <w:div w:id="1085343871">
      <w:marLeft w:val="0"/>
      <w:marRight w:val="0"/>
      <w:marTop w:val="0"/>
      <w:marBottom w:val="0"/>
      <w:divBdr>
        <w:top w:val="none" w:sz="0" w:space="0" w:color="auto"/>
        <w:left w:val="none" w:sz="0" w:space="0" w:color="auto"/>
        <w:bottom w:val="none" w:sz="0" w:space="0" w:color="auto"/>
        <w:right w:val="none" w:sz="0" w:space="0" w:color="auto"/>
      </w:divBdr>
    </w:div>
    <w:div w:id="1085343872">
      <w:marLeft w:val="0"/>
      <w:marRight w:val="0"/>
      <w:marTop w:val="0"/>
      <w:marBottom w:val="0"/>
      <w:divBdr>
        <w:top w:val="none" w:sz="0" w:space="0" w:color="auto"/>
        <w:left w:val="none" w:sz="0" w:space="0" w:color="auto"/>
        <w:bottom w:val="none" w:sz="0" w:space="0" w:color="auto"/>
        <w:right w:val="none" w:sz="0" w:space="0" w:color="auto"/>
      </w:divBdr>
    </w:div>
    <w:div w:id="1085343873">
      <w:marLeft w:val="0"/>
      <w:marRight w:val="0"/>
      <w:marTop w:val="0"/>
      <w:marBottom w:val="0"/>
      <w:divBdr>
        <w:top w:val="none" w:sz="0" w:space="0" w:color="auto"/>
        <w:left w:val="none" w:sz="0" w:space="0" w:color="auto"/>
        <w:bottom w:val="none" w:sz="0" w:space="0" w:color="auto"/>
        <w:right w:val="none" w:sz="0" w:space="0" w:color="auto"/>
      </w:divBdr>
    </w:div>
    <w:div w:id="1085343874">
      <w:marLeft w:val="0"/>
      <w:marRight w:val="0"/>
      <w:marTop w:val="0"/>
      <w:marBottom w:val="0"/>
      <w:divBdr>
        <w:top w:val="none" w:sz="0" w:space="0" w:color="auto"/>
        <w:left w:val="none" w:sz="0" w:space="0" w:color="auto"/>
        <w:bottom w:val="none" w:sz="0" w:space="0" w:color="auto"/>
        <w:right w:val="none" w:sz="0" w:space="0" w:color="auto"/>
      </w:divBdr>
    </w:div>
    <w:div w:id="1085343875">
      <w:marLeft w:val="0"/>
      <w:marRight w:val="0"/>
      <w:marTop w:val="0"/>
      <w:marBottom w:val="0"/>
      <w:divBdr>
        <w:top w:val="none" w:sz="0" w:space="0" w:color="auto"/>
        <w:left w:val="none" w:sz="0" w:space="0" w:color="auto"/>
        <w:bottom w:val="none" w:sz="0" w:space="0" w:color="auto"/>
        <w:right w:val="none" w:sz="0" w:space="0" w:color="auto"/>
      </w:divBdr>
    </w:div>
    <w:div w:id="1085343876">
      <w:marLeft w:val="0"/>
      <w:marRight w:val="0"/>
      <w:marTop w:val="0"/>
      <w:marBottom w:val="0"/>
      <w:divBdr>
        <w:top w:val="none" w:sz="0" w:space="0" w:color="auto"/>
        <w:left w:val="none" w:sz="0" w:space="0" w:color="auto"/>
        <w:bottom w:val="none" w:sz="0" w:space="0" w:color="auto"/>
        <w:right w:val="none" w:sz="0" w:space="0" w:color="auto"/>
      </w:divBdr>
    </w:div>
    <w:div w:id="1085343877">
      <w:marLeft w:val="0"/>
      <w:marRight w:val="0"/>
      <w:marTop w:val="0"/>
      <w:marBottom w:val="0"/>
      <w:divBdr>
        <w:top w:val="none" w:sz="0" w:space="0" w:color="auto"/>
        <w:left w:val="none" w:sz="0" w:space="0" w:color="auto"/>
        <w:bottom w:val="none" w:sz="0" w:space="0" w:color="auto"/>
        <w:right w:val="none" w:sz="0" w:space="0" w:color="auto"/>
      </w:divBdr>
    </w:div>
    <w:div w:id="1402678270">
      <w:marLeft w:val="0"/>
      <w:marRight w:val="0"/>
      <w:marTop w:val="0"/>
      <w:marBottom w:val="0"/>
      <w:divBdr>
        <w:top w:val="none" w:sz="0" w:space="0" w:color="auto"/>
        <w:left w:val="none" w:sz="0" w:space="0" w:color="auto"/>
        <w:bottom w:val="none" w:sz="0" w:space="0" w:color="auto"/>
        <w:right w:val="none" w:sz="0" w:space="0" w:color="auto"/>
      </w:divBdr>
    </w:div>
    <w:div w:id="1402678271">
      <w:marLeft w:val="0"/>
      <w:marRight w:val="0"/>
      <w:marTop w:val="0"/>
      <w:marBottom w:val="0"/>
      <w:divBdr>
        <w:top w:val="none" w:sz="0" w:space="0" w:color="auto"/>
        <w:left w:val="none" w:sz="0" w:space="0" w:color="auto"/>
        <w:bottom w:val="none" w:sz="0" w:space="0" w:color="auto"/>
        <w:right w:val="none" w:sz="0" w:space="0" w:color="auto"/>
      </w:divBdr>
    </w:div>
    <w:div w:id="1402678272">
      <w:marLeft w:val="0"/>
      <w:marRight w:val="0"/>
      <w:marTop w:val="0"/>
      <w:marBottom w:val="0"/>
      <w:divBdr>
        <w:top w:val="none" w:sz="0" w:space="0" w:color="auto"/>
        <w:left w:val="none" w:sz="0" w:space="0" w:color="auto"/>
        <w:bottom w:val="none" w:sz="0" w:space="0" w:color="auto"/>
        <w:right w:val="none" w:sz="0" w:space="0" w:color="auto"/>
      </w:divBdr>
    </w:div>
    <w:div w:id="1402678273">
      <w:marLeft w:val="0"/>
      <w:marRight w:val="0"/>
      <w:marTop w:val="0"/>
      <w:marBottom w:val="0"/>
      <w:divBdr>
        <w:top w:val="none" w:sz="0" w:space="0" w:color="auto"/>
        <w:left w:val="none" w:sz="0" w:space="0" w:color="auto"/>
        <w:bottom w:val="none" w:sz="0" w:space="0" w:color="auto"/>
        <w:right w:val="none" w:sz="0" w:space="0" w:color="auto"/>
      </w:divBdr>
    </w:div>
    <w:div w:id="1402678274">
      <w:marLeft w:val="0"/>
      <w:marRight w:val="0"/>
      <w:marTop w:val="0"/>
      <w:marBottom w:val="0"/>
      <w:divBdr>
        <w:top w:val="none" w:sz="0" w:space="0" w:color="auto"/>
        <w:left w:val="none" w:sz="0" w:space="0" w:color="auto"/>
        <w:bottom w:val="none" w:sz="0" w:space="0" w:color="auto"/>
        <w:right w:val="none" w:sz="0" w:space="0" w:color="auto"/>
      </w:divBdr>
    </w:div>
    <w:div w:id="1402678275">
      <w:marLeft w:val="0"/>
      <w:marRight w:val="0"/>
      <w:marTop w:val="0"/>
      <w:marBottom w:val="0"/>
      <w:divBdr>
        <w:top w:val="none" w:sz="0" w:space="0" w:color="auto"/>
        <w:left w:val="none" w:sz="0" w:space="0" w:color="auto"/>
        <w:bottom w:val="none" w:sz="0" w:space="0" w:color="auto"/>
        <w:right w:val="none" w:sz="0" w:space="0" w:color="auto"/>
      </w:divBdr>
    </w:div>
    <w:div w:id="1402678276">
      <w:marLeft w:val="0"/>
      <w:marRight w:val="0"/>
      <w:marTop w:val="0"/>
      <w:marBottom w:val="0"/>
      <w:divBdr>
        <w:top w:val="none" w:sz="0" w:space="0" w:color="auto"/>
        <w:left w:val="none" w:sz="0" w:space="0" w:color="auto"/>
        <w:bottom w:val="none" w:sz="0" w:space="0" w:color="auto"/>
        <w:right w:val="none" w:sz="0" w:space="0" w:color="auto"/>
      </w:divBdr>
    </w:div>
    <w:div w:id="1402678277">
      <w:marLeft w:val="0"/>
      <w:marRight w:val="0"/>
      <w:marTop w:val="0"/>
      <w:marBottom w:val="0"/>
      <w:divBdr>
        <w:top w:val="none" w:sz="0" w:space="0" w:color="auto"/>
        <w:left w:val="none" w:sz="0" w:space="0" w:color="auto"/>
        <w:bottom w:val="none" w:sz="0" w:space="0" w:color="auto"/>
        <w:right w:val="none" w:sz="0" w:space="0" w:color="auto"/>
      </w:divBdr>
    </w:div>
    <w:div w:id="1402678278">
      <w:marLeft w:val="0"/>
      <w:marRight w:val="0"/>
      <w:marTop w:val="0"/>
      <w:marBottom w:val="0"/>
      <w:divBdr>
        <w:top w:val="none" w:sz="0" w:space="0" w:color="auto"/>
        <w:left w:val="none" w:sz="0" w:space="0" w:color="auto"/>
        <w:bottom w:val="none" w:sz="0" w:space="0" w:color="auto"/>
        <w:right w:val="none" w:sz="0" w:space="0" w:color="auto"/>
      </w:divBdr>
    </w:div>
    <w:div w:id="1402678279">
      <w:marLeft w:val="0"/>
      <w:marRight w:val="0"/>
      <w:marTop w:val="0"/>
      <w:marBottom w:val="0"/>
      <w:divBdr>
        <w:top w:val="none" w:sz="0" w:space="0" w:color="auto"/>
        <w:left w:val="none" w:sz="0" w:space="0" w:color="auto"/>
        <w:bottom w:val="none" w:sz="0" w:space="0" w:color="auto"/>
        <w:right w:val="none" w:sz="0" w:space="0" w:color="auto"/>
      </w:divBdr>
    </w:div>
    <w:div w:id="1402678280">
      <w:marLeft w:val="0"/>
      <w:marRight w:val="0"/>
      <w:marTop w:val="0"/>
      <w:marBottom w:val="0"/>
      <w:divBdr>
        <w:top w:val="none" w:sz="0" w:space="0" w:color="auto"/>
        <w:left w:val="none" w:sz="0" w:space="0" w:color="auto"/>
        <w:bottom w:val="none" w:sz="0" w:space="0" w:color="auto"/>
        <w:right w:val="none" w:sz="0" w:space="0" w:color="auto"/>
      </w:divBdr>
    </w:div>
    <w:div w:id="1402678281">
      <w:marLeft w:val="0"/>
      <w:marRight w:val="0"/>
      <w:marTop w:val="0"/>
      <w:marBottom w:val="0"/>
      <w:divBdr>
        <w:top w:val="none" w:sz="0" w:space="0" w:color="auto"/>
        <w:left w:val="none" w:sz="0" w:space="0" w:color="auto"/>
        <w:bottom w:val="none" w:sz="0" w:space="0" w:color="auto"/>
        <w:right w:val="none" w:sz="0" w:space="0" w:color="auto"/>
      </w:divBdr>
    </w:div>
    <w:div w:id="1402678282">
      <w:marLeft w:val="0"/>
      <w:marRight w:val="0"/>
      <w:marTop w:val="0"/>
      <w:marBottom w:val="0"/>
      <w:divBdr>
        <w:top w:val="none" w:sz="0" w:space="0" w:color="auto"/>
        <w:left w:val="none" w:sz="0" w:space="0" w:color="auto"/>
        <w:bottom w:val="none" w:sz="0" w:space="0" w:color="auto"/>
        <w:right w:val="none" w:sz="0" w:space="0" w:color="auto"/>
      </w:divBdr>
    </w:div>
    <w:div w:id="1402678283">
      <w:marLeft w:val="0"/>
      <w:marRight w:val="0"/>
      <w:marTop w:val="0"/>
      <w:marBottom w:val="0"/>
      <w:divBdr>
        <w:top w:val="none" w:sz="0" w:space="0" w:color="auto"/>
        <w:left w:val="none" w:sz="0" w:space="0" w:color="auto"/>
        <w:bottom w:val="none" w:sz="0" w:space="0" w:color="auto"/>
        <w:right w:val="none" w:sz="0" w:space="0" w:color="auto"/>
      </w:divBdr>
    </w:div>
    <w:div w:id="1402678284">
      <w:marLeft w:val="0"/>
      <w:marRight w:val="0"/>
      <w:marTop w:val="0"/>
      <w:marBottom w:val="0"/>
      <w:divBdr>
        <w:top w:val="none" w:sz="0" w:space="0" w:color="auto"/>
        <w:left w:val="none" w:sz="0" w:space="0" w:color="auto"/>
        <w:bottom w:val="none" w:sz="0" w:space="0" w:color="auto"/>
        <w:right w:val="none" w:sz="0" w:space="0" w:color="auto"/>
      </w:divBdr>
    </w:div>
    <w:div w:id="1402678285">
      <w:marLeft w:val="0"/>
      <w:marRight w:val="0"/>
      <w:marTop w:val="0"/>
      <w:marBottom w:val="0"/>
      <w:divBdr>
        <w:top w:val="none" w:sz="0" w:space="0" w:color="auto"/>
        <w:left w:val="none" w:sz="0" w:space="0" w:color="auto"/>
        <w:bottom w:val="none" w:sz="0" w:space="0" w:color="auto"/>
        <w:right w:val="none" w:sz="0" w:space="0" w:color="auto"/>
      </w:divBdr>
    </w:div>
    <w:div w:id="1402678286">
      <w:marLeft w:val="0"/>
      <w:marRight w:val="0"/>
      <w:marTop w:val="0"/>
      <w:marBottom w:val="0"/>
      <w:divBdr>
        <w:top w:val="none" w:sz="0" w:space="0" w:color="auto"/>
        <w:left w:val="none" w:sz="0" w:space="0" w:color="auto"/>
        <w:bottom w:val="none" w:sz="0" w:space="0" w:color="auto"/>
        <w:right w:val="none" w:sz="0" w:space="0" w:color="auto"/>
      </w:divBdr>
    </w:div>
    <w:div w:id="1402678287">
      <w:marLeft w:val="0"/>
      <w:marRight w:val="0"/>
      <w:marTop w:val="0"/>
      <w:marBottom w:val="0"/>
      <w:divBdr>
        <w:top w:val="none" w:sz="0" w:space="0" w:color="auto"/>
        <w:left w:val="none" w:sz="0" w:space="0" w:color="auto"/>
        <w:bottom w:val="none" w:sz="0" w:space="0" w:color="auto"/>
        <w:right w:val="none" w:sz="0" w:space="0" w:color="auto"/>
      </w:divBdr>
    </w:div>
    <w:div w:id="1402678288">
      <w:marLeft w:val="0"/>
      <w:marRight w:val="0"/>
      <w:marTop w:val="0"/>
      <w:marBottom w:val="0"/>
      <w:divBdr>
        <w:top w:val="none" w:sz="0" w:space="0" w:color="auto"/>
        <w:left w:val="none" w:sz="0" w:space="0" w:color="auto"/>
        <w:bottom w:val="none" w:sz="0" w:space="0" w:color="auto"/>
        <w:right w:val="none" w:sz="0" w:space="0" w:color="auto"/>
      </w:divBdr>
    </w:div>
    <w:div w:id="14819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imeanddate.com/worldclock/converter.html." TargetMode="External"/><Relationship Id="rId18" Type="http://schemas.openxmlformats.org/officeDocument/2006/relationships/footer" Target="footer1.xml"/><Relationship Id="rId26" Type="http://schemas.openxmlformats.org/officeDocument/2006/relationships/hyperlink" Target="https://webgate.ec.europa.eu/prospect" TargetMode="External"/><Relationship Id="rId39" Type="http://schemas.openxmlformats.org/officeDocument/2006/relationships/hyperlink" Target="https://ec.europa.eu/info/funding-tenders/opportunities/portal/screen/home%20"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delegation-senegal-tenders@eeas.europa.eu" TargetMode="External"/><Relationship Id="rId42" Type="http://schemas.openxmlformats.org/officeDocument/2006/relationships/hyperlink" Target="https://wikis.ec.europa.eu/pages/viewpage.action?pageId=33525314"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mailto:INTPA-SUPPORT-SERVICES@ec.europa.eu" TargetMode="External"/><Relationship Id="rId33" Type="http://schemas.openxmlformats.org/officeDocument/2006/relationships/hyperlink" Target="https://webgate.ec.europa.eu/europeaid/prospect" TargetMode="External"/><Relationship Id="rId38" Type="http://schemas.openxmlformats.org/officeDocument/2006/relationships/hyperlink" Target="https://ec.europa.eu/international-partnerships/home_fr"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delegation-senegal-tenders@eeas.europa.eu" TargetMode="External"/><Relationship Id="rId41" Type="http://schemas.openxmlformats.org/officeDocument/2006/relationships/hyperlink" Target="https://ec.europa.eu/international-partnerships/funding/managing-project_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ebgate.ec.europa.eu/pador" TargetMode="External"/><Relationship Id="rId32" Type="http://schemas.openxmlformats.org/officeDocument/2006/relationships/hyperlink" Target="mailto:INTPA-SUPPORT-SERVICES@ec.europa.eu" TargetMode="External"/><Relationship Id="rId37" Type="http://schemas.openxmlformats.org/officeDocument/2006/relationships/hyperlink" Target="https://ec.europa.eu/info/strategy/eu-budget/how-it-works/annual-lifecycle/implementation/anti-fraud-measures/edes_fr" TargetMode="External"/><Relationship Id="rId40" Type="http://schemas.openxmlformats.org/officeDocument/2006/relationships/hyperlink" Target="https://webgate.ec.europa.eu/prospec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ikis.ec.europa.eu/pages/viewpage.action?pageId=33525351" TargetMode="External"/><Relationship Id="rId23" Type="http://schemas.openxmlformats.org/officeDocument/2006/relationships/hyperlink" Target="https://ec.europa.eu/international-partnerships/comm-visibility-requirements_en" TargetMode="External"/><Relationship Id="rId28" Type="http://schemas.openxmlformats.org/officeDocument/2006/relationships/hyperlink" Target="mailto:delegation-senegal-tenders@eeas.europa.eu" TargetMode="External"/><Relationship Id="rId36" Type="http://schemas.openxmlformats.org/officeDocument/2006/relationships/hyperlink" Target="mailto:INTPA-SUPPORT-SERVICES@ec.europa.e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ec.europa.eu/info/funding-tenders/opportunities/portal/screen/home%20"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ikis.ec.europa.eu/display/ExactExternalWikiFR/Manuel+pour+les+Demandeurs+-+e-Calls+PROSPECT" TargetMode="External"/><Relationship Id="rId22" Type="http://schemas.openxmlformats.org/officeDocument/2006/relationships/hyperlink" Target="https://wikis.ec.europa.eu/display/ExactExternalWikiFR/ePRAG" TargetMode="External"/><Relationship Id="rId27" Type="http://schemas.openxmlformats.org/officeDocument/2006/relationships/hyperlink" Target="http://www.timeanddate.com/worldclock/converter.html." TargetMode="External"/><Relationship Id="rId30" Type="http://schemas.openxmlformats.org/officeDocument/2006/relationships/hyperlink" Target="https://ec.europa.eu/international-partnerships/home_fr" TargetMode="External"/><Relationship Id="rId35" Type="http://schemas.openxmlformats.org/officeDocument/2006/relationships/hyperlink" Target="https://ec.europa.eu/international-partnerships/home_fr" TargetMode="External"/><Relationship Id="rId43" Type="http://schemas.openxmlformats.org/officeDocument/2006/relationships/hyperlink" Target="https://ec.europa.eu/international-partnerships/financial-management-toolkit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delegations/s%C3%A9n%C3%A9gal/feuille-de-route-pour-lengagement-de-lue-avec-la-soci%C3%A9t%C3%A9-civile-senegal-2021_fr?s=117" TargetMode="External"/><Relationship Id="rId2" Type="http://schemas.openxmlformats.org/officeDocument/2006/relationships/hyperlink" Target="mailto:INTPA-SUPPORT-SERVICES@ec.europa.eu"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01fb76ba-f1d6-4c22-8aad-389d5f9739b1"/>
    <_Status xmlns="http://schemas.microsoft.com/sharepoint/v3/fields" xsi:nil="true"/>
    <IconOverlay xmlns="http://schemas.microsoft.com/sharepoint/v4" xsi:nil="true"/>
    <EC_Collab_Reference xmlns="01fb76ba-f1d6-4c22-8aad-389d5f9739b1" xsi:nil="true"/>
    <EC_Collab_Status xmlns="01fb76ba-f1d6-4c22-8aad-389d5f9739b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8C3D-EF34-4C1E-8824-E55964B38B3B}">
  <ds:schemaRefs>
    <ds:schemaRef ds:uri="http://schemas.microsoft.com/sharepoint/events"/>
  </ds:schemaRefs>
</ds:datastoreItem>
</file>

<file path=customXml/itemProps2.xml><?xml version="1.0" encoding="utf-8"?>
<ds:datastoreItem xmlns:ds="http://schemas.openxmlformats.org/officeDocument/2006/customXml" ds:itemID="{B7046F98-1469-42B8-9DF1-18D82F2E109B}">
  <ds:schemaRefs>
    <ds:schemaRef ds:uri="http://schemas.microsoft.com/sharepoint/v3/contenttype/forms"/>
  </ds:schemaRefs>
</ds:datastoreItem>
</file>

<file path=customXml/itemProps3.xml><?xml version="1.0" encoding="utf-8"?>
<ds:datastoreItem xmlns:ds="http://schemas.openxmlformats.org/officeDocument/2006/customXml" ds:itemID="{A2178DA1-3AC3-4079-B0A0-C48F6F7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31C3B-DA33-465E-BCA1-9DA9325596D5}">
  <ds:schemaRefs>
    <ds:schemaRef ds:uri="http://schemas.microsoft.com/office/2006/metadata/properties"/>
    <ds:schemaRef ds:uri="http://schemas.microsoft.com/office/infopath/2007/PartnerControls"/>
    <ds:schemaRef ds:uri="01fb76ba-f1d6-4c22-8aad-389d5f9739b1"/>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A1EC8080-ECB9-49F1-A90A-90103937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16999</Words>
  <Characters>93158</Characters>
  <Application>Microsoft Office Word</Application>
  <DocSecurity>0</DocSecurity>
  <Lines>1757</Lines>
  <Paragraphs>983</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109174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MBAYE Ndeye-Fatou (EEAS-DAKAR)</cp:lastModifiedBy>
  <cp:revision>2</cp:revision>
  <cp:lastPrinted>2024-11-12T17:18:00Z</cp:lastPrinted>
  <dcterms:created xsi:type="dcterms:W3CDTF">2024-12-12T09:24:00Z</dcterms:created>
  <dcterms:modified xsi:type="dcterms:W3CDTF">2024-12-12T09:24:00Z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0x010100258AA79CEB83498886A3A0868112325000B815E5D5322DC248B537749FDF4EA55B</vt:lpwstr>
  </property>
  <property fmtid="{D5CDD505-2E9C-101B-9397-08002B2CF9AE}" pid="6" name="_dlc_DocIdItemGuid">
    <vt:lpwstr>61a8f8bb-5fcf-4e46-84be-ba61744081aa</vt:lpwstr>
  </property>
  <property fmtid="{D5CDD505-2E9C-101B-9397-08002B2CF9AE}" pid="7" name="MSIP_Label_6bd9ddd1-4d20-43f6-abfa-fc3c07406f94_Enabled">
    <vt:lpwstr>true</vt:lpwstr>
  </property>
  <property fmtid="{D5CDD505-2E9C-101B-9397-08002B2CF9AE}" pid="8" name="MSIP_Label_6bd9ddd1-4d20-43f6-abfa-fc3c07406f94_SetDate">
    <vt:lpwstr>2022-09-07T13:19:35Z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6349470e-1214-4031-ae49-046ecaef9294</vt:lpwstr>
  </property>
  <property fmtid="{D5CDD505-2E9C-101B-9397-08002B2CF9AE}" pid="13" name="MSIP_Label_6bd9ddd1-4d20-43f6-abfa-fc3c07406f94_ContentBits">
    <vt:lpwstr>0</vt:lpwstr>
  </property>
</Properties>
</file>